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653B" w14:textId="668A16A6" w:rsidR="00AF0D1A" w:rsidRPr="006A339F" w:rsidRDefault="00AF0D1A" w:rsidP="00F12637">
      <w:pPr>
        <w:pStyle w:val="NormalWeb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>Rehabilitation Council of Texas (RCT)</w:t>
      </w:r>
    </w:p>
    <w:p w14:paraId="741CC64B" w14:textId="779DD596" w:rsidR="00AF0D1A" w:rsidRPr="006A339F" w:rsidRDefault="00B42E66" w:rsidP="00F12637">
      <w:pPr>
        <w:pStyle w:val="NormalWeb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>October 31-November 1</w:t>
      </w:r>
      <w:r w:rsidR="00ED7844" w:rsidRPr="006A339F">
        <w:rPr>
          <w:rFonts w:ascii="Verdana" w:hAnsi="Verdana" w:cstheme="minorHAnsi"/>
          <w:b/>
          <w:bCs/>
          <w:sz w:val="28"/>
          <w:szCs w:val="28"/>
        </w:rPr>
        <w:t>, 2024</w:t>
      </w:r>
    </w:p>
    <w:p w14:paraId="217F6AD4" w14:textId="77777777" w:rsidR="00B42E66" w:rsidRPr="006A339F" w:rsidRDefault="00B42E66" w:rsidP="00B42256">
      <w:pPr>
        <w:pStyle w:val="NormalWeb"/>
        <w:spacing w:after="0" w:afterAutospacing="0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>Dallas College</w:t>
      </w:r>
    </w:p>
    <w:p w14:paraId="2CDD770F" w14:textId="77777777" w:rsidR="00B42E66" w:rsidRPr="006A339F" w:rsidRDefault="00B42E66" w:rsidP="00B42256">
      <w:pPr>
        <w:pStyle w:val="NormalWeb"/>
        <w:spacing w:after="0" w:afterAutospacing="0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>3030 N Dallas Ave</w:t>
      </w:r>
    </w:p>
    <w:p w14:paraId="585520E9" w14:textId="77777777" w:rsidR="00B42E66" w:rsidRPr="006A339F" w:rsidRDefault="00B42E66" w:rsidP="00B42256">
      <w:pPr>
        <w:pStyle w:val="NormalWeb"/>
        <w:spacing w:after="0" w:afterAutospacing="0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>Lancaster, TX</w:t>
      </w:r>
    </w:p>
    <w:p w14:paraId="24906678" w14:textId="11ED5150" w:rsidR="00AC4DC7" w:rsidRPr="006A339F" w:rsidRDefault="00AC4DC7" w:rsidP="00B42256">
      <w:pPr>
        <w:pStyle w:val="NormalWeb"/>
        <w:spacing w:after="0" w:afterAutospacing="0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>In person and via Zoom</w:t>
      </w:r>
    </w:p>
    <w:p w14:paraId="7123EA84" w14:textId="49E9A1DA" w:rsidR="00B42256" w:rsidRPr="006A339F" w:rsidRDefault="00B42256" w:rsidP="00B42256">
      <w:pPr>
        <w:spacing w:after="0"/>
        <w:rPr>
          <w:rFonts w:ascii="Arial" w:hAnsi="Arial" w:cs="Arial"/>
          <w:sz w:val="24"/>
          <w:szCs w:val="24"/>
        </w:rPr>
      </w:pPr>
      <w:r w:rsidRPr="006A339F">
        <w:rPr>
          <w:rFonts w:ascii="Arial" w:hAnsi="Arial" w:cs="Arial"/>
          <w:sz w:val="24"/>
          <w:szCs w:val="24"/>
        </w:rPr>
        <w:t xml:space="preserve">Day 1:   </w:t>
      </w:r>
      <w:hyperlink r:id="rId8" w:history="1">
        <w:r w:rsidR="003A40E6" w:rsidRPr="006A339F">
          <w:rPr>
            <w:rStyle w:val="Hyperlink"/>
            <w:rFonts w:ascii="Verdana" w:hAnsi="Verdana"/>
          </w:rPr>
          <w:t>https://youtu.be/5qtvex0BtZw</w:t>
        </w:r>
      </w:hyperlink>
    </w:p>
    <w:p w14:paraId="09E8C789" w14:textId="7706FF00" w:rsidR="00B42256" w:rsidRPr="006A339F" w:rsidRDefault="00B42256" w:rsidP="00B42256">
      <w:pPr>
        <w:spacing w:after="0"/>
        <w:rPr>
          <w:rFonts w:ascii="Arial" w:hAnsi="Arial" w:cs="Arial"/>
          <w:sz w:val="24"/>
          <w:szCs w:val="24"/>
        </w:rPr>
      </w:pPr>
      <w:r w:rsidRPr="006A339F">
        <w:rPr>
          <w:rFonts w:ascii="Arial" w:hAnsi="Arial" w:cs="Arial"/>
          <w:sz w:val="24"/>
          <w:szCs w:val="24"/>
        </w:rPr>
        <w:t>Day 2:  </w:t>
      </w:r>
      <w:hyperlink r:id="rId9" w:history="1">
        <w:r w:rsidR="005F3010" w:rsidRPr="006A339F">
          <w:rPr>
            <w:rStyle w:val="Hyperlink"/>
            <w:rFonts w:ascii="Verdana" w:hAnsi="Verdana"/>
          </w:rPr>
          <w:t>https://youtu.be/pHhks1lzmic</w:t>
        </w:r>
      </w:hyperlink>
    </w:p>
    <w:p w14:paraId="27D7BF92" w14:textId="77777777" w:rsidR="00B42256" w:rsidRPr="006A339F" w:rsidRDefault="00B42256" w:rsidP="00B42256">
      <w:pPr>
        <w:spacing w:after="0"/>
        <w:rPr>
          <w:rFonts w:ascii="Arial" w:hAnsi="Arial" w:cs="Arial"/>
          <w:sz w:val="24"/>
          <w:szCs w:val="24"/>
          <w14:ligatures w14:val="none"/>
        </w:rPr>
      </w:pPr>
    </w:p>
    <w:p w14:paraId="1F42C8B3" w14:textId="77777777" w:rsidR="00FD25D8" w:rsidRPr="006A339F" w:rsidRDefault="002C70F7" w:rsidP="00FD25D8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>Council Members Present</w:t>
      </w:r>
      <w:r w:rsidR="0021753E" w:rsidRPr="006A339F">
        <w:rPr>
          <w:rFonts w:ascii="Verdana" w:hAnsi="Verdana" w:cstheme="minorHAnsi"/>
          <w:b/>
          <w:bCs/>
          <w:sz w:val="28"/>
          <w:szCs w:val="28"/>
        </w:rPr>
        <w:t xml:space="preserve"> </w:t>
      </w:r>
    </w:p>
    <w:p w14:paraId="680B0FBF" w14:textId="77777777" w:rsidR="00FD25D8" w:rsidRPr="006A339F" w:rsidRDefault="00B942D5" w:rsidP="00FD25D8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eastAsiaTheme="majorEastAsia" w:hAnsi="Verdana" w:cstheme="majorBidi"/>
          <w:spacing w:val="-10"/>
          <w:kern w:val="28"/>
          <w:sz w:val="24"/>
          <w:szCs w:val="56"/>
          <w14:ligatures w14:val="none"/>
        </w:rPr>
        <w:t>Gennadiy Goldenshteyn, Chair, Dallas</w:t>
      </w:r>
    </w:p>
    <w:p w14:paraId="5EEB8903" w14:textId="77777777" w:rsidR="00FD25D8" w:rsidRPr="006A339F" w:rsidRDefault="00B942D5" w:rsidP="00FD25D8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eastAsiaTheme="majorEastAsia" w:hAnsi="Verdana" w:cstheme="majorBidi"/>
          <w:spacing w:val="-10"/>
          <w:kern w:val="28"/>
          <w:sz w:val="24"/>
          <w:szCs w:val="56"/>
          <w14:ligatures w14:val="none"/>
        </w:rPr>
        <w:t>Peggy Schmidt, Vice Chair, Lucas</w:t>
      </w:r>
    </w:p>
    <w:p w14:paraId="461D47CA" w14:textId="705A143A" w:rsidR="00FD25D8" w:rsidRPr="006A339F" w:rsidRDefault="00B942D5" w:rsidP="00FD25D8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eastAsiaTheme="majorEastAsia" w:hAnsi="Verdana" w:cstheme="majorBidi"/>
          <w:spacing w:val="-10"/>
          <w:kern w:val="28"/>
          <w:sz w:val="24"/>
          <w:szCs w:val="56"/>
          <w14:ligatures w14:val="none"/>
        </w:rPr>
        <w:t xml:space="preserve">Glenda Born, Austin </w:t>
      </w:r>
      <w:r w:rsidR="0066338F" w:rsidRPr="006A339F">
        <w:rPr>
          <w:rFonts w:ascii="Verdana" w:eastAsiaTheme="majorEastAsia" w:hAnsi="Verdana" w:cstheme="majorBidi"/>
          <w:spacing w:val="-10"/>
          <w:kern w:val="28"/>
          <w:sz w:val="24"/>
          <w:szCs w:val="56"/>
          <w14:ligatures w14:val="none"/>
        </w:rPr>
        <w:t>(Virtual)</w:t>
      </w:r>
    </w:p>
    <w:p w14:paraId="69EFCC48" w14:textId="49906C13" w:rsidR="00B42E66" w:rsidRPr="006A339F" w:rsidRDefault="00B42E66" w:rsidP="00B42E66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eastAsiaTheme="majorEastAsia" w:hAnsi="Verdana" w:cstheme="majorBidi"/>
          <w:spacing w:val="-10"/>
          <w:kern w:val="28"/>
          <w:sz w:val="24"/>
          <w:szCs w:val="56"/>
          <w14:ligatures w14:val="none"/>
        </w:rPr>
        <w:t>Mark Baird, San Angelo (Virtual)</w:t>
      </w:r>
    </w:p>
    <w:p w14:paraId="364FA46A" w14:textId="77777777" w:rsidR="00B71F37" w:rsidRPr="006A339F" w:rsidRDefault="00B71F37" w:rsidP="00B71F37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/>
          <w:kern w:val="0"/>
          <w:sz w:val="24"/>
          <w14:ligatures w14:val="none"/>
        </w:rPr>
        <w:t>Jennifer Clouse, Temple (Virtual)</w:t>
      </w:r>
    </w:p>
    <w:p w14:paraId="4D3A852C" w14:textId="03526864" w:rsidR="00FE767C" w:rsidRPr="006A339F" w:rsidRDefault="00FE767C" w:rsidP="00FE767C">
      <w:pPr>
        <w:spacing w:line="240" w:lineRule="auto"/>
        <w:contextualSpacing/>
        <w:rPr>
          <w:rFonts w:ascii="Verdana" w:hAnsi="Verdana" w:cstheme="minorHAnsi"/>
          <w:sz w:val="24"/>
          <w:szCs w:val="24"/>
        </w:rPr>
      </w:pPr>
      <w:r w:rsidRPr="006A339F">
        <w:rPr>
          <w:rFonts w:ascii="Verdana" w:hAnsi="Verdana" w:cstheme="minorHAnsi"/>
          <w:sz w:val="24"/>
          <w:szCs w:val="24"/>
        </w:rPr>
        <w:t xml:space="preserve">Norine Gill, </w:t>
      </w:r>
      <w:r w:rsidR="004F2AB9" w:rsidRPr="006A339F">
        <w:rPr>
          <w:rFonts w:ascii="Verdana" w:hAnsi="Verdana" w:cstheme="minorHAnsi"/>
          <w:sz w:val="24"/>
          <w:szCs w:val="24"/>
        </w:rPr>
        <w:t>Taylor Lake Village</w:t>
      </w:r>
      <w:r w:rsidR="006D675F" w:rsidRPr="006A339F">
        <w:rPr>
          <w:rFonts w:ascii="Verdana" w:hAnsi="Verdana" w:cstheme="minorHAnsi"/>
          <w:sz w:val="24"/>
          <w:szCs w:val="24"/>
        </w:rPr>
        <w:t xml:space="preserve"> </w:t>
      </w:r>
    </w:p>
    <w:p w14:paraId="5C144CAB" w14:textId="4401E8A5" w:rsidR="00B71F37" w:rsidRPr="006A339F" w:rsidRDefault="00B71F37" w:rsidP="00B71F37">
      <w:pPr>
        <w:spacing w:line="240" w:lineRule="auto"/>
        <w:contextualSpacing/>
        <w:rPr>
          <w:rFonts w:ascii="Verdana" w:hAnsi="Verdana" w:cstheme="minorHAnsi"/>
          <w:sz w:val="24"/>
          <w:szCs w:val="24"/>
        </w:rPr>
      </w:pPr>
      <w:r w:rsidRPr="006A339F">
        <w:rPr>
          <w:rFonts w:ascii="Verdana" w:hAnsi="Verdana" w:cstheme="minorHAnsi"/>
          <w:sz w:val="24"/>
          <w:szCs w:val="24"/>
        </w:rPr>
        <w:t>Kiffany Jefferson, Rowlett (Virtual)</w:t>
      </w:r>
    </w:p>
    <w:p w14:paraId="3F6D7104" w14:textId="7F2B5D65" w:rsidR="0055350B" w:rsidRPr="006A339F" w:rsidRDefault="0055350B" w:rsidP="0055350B">
      <w:pPr>
        <w:spacing w:line="240" w:lineRule="auto"/>
        <w:contextualSpacing/>
        <w:rPr>
          <w:rFonts w:ascii="Verdana" w:hAnsi="Verdana" w:cstheme="minorHAnsi"/>
          <w:sz w:val="24"/>
          <w:szCs w:val="24"/>
        </w:rPr>
      </w:pPr>
      <w:r w:rsidRPr="006A339F">
        <w:rPr>
          <w:rFonts w:ascii="Verdana" w:hAnsi="Verdana" w:cstheme="minorHAnsi"/>
          <w:sz w:val="24"/>
          <w:szCs w:val="24"/>
        </w:rPr>
        <w:t xml:space="preserve">Michele Norris, LaPorte </w:t>
      </w:r>
      <w:r w:rsidR="0066338F" w:rsidRPr="006A339F">
        <w:rPr>
          <w:rFonts w:ascii="Verdana" w:hAnsi="Verdana" w:cstheme="minorHAnsi"/>
          <w:sz w:val="24"/>
          <w:szCs w:val="24"/>
        </w:rPr>
        <w:t>(Virtual)</w:t>
      </w:r>
    </w:p>
    <w:p w14:paraId="475B3EEF" w14:textId="77777777" w:rsidR="00B71F37" w:rsidRPr="006A339F" w:rsidRDefault="00B71F37" w:rsidP="00723925">
      <w:pPr>
        <w:spacing w:line="240" w:lineRule="auto"/>
        <w:contextualSpacing/>
        <w:rPr>
          <w:rFonts w:ascii="Verdana" w:hAnsi="Verdana" w:cstheme="minorHAnsi"/>
          <w:sz w:val="24"/>
          <w:szCs w:val="24"/>
        </w:rPr>
      </w:pPr>
      <w:r w:rsidRPr="006A339F">
        <w:rPr>
          <w:rFonts w:ascii="Verdana" w:hAnsi="Verdana"/>
          <w:kern w:val="0"/>
          <w:sz w:val="24"/>
          <w14:ligatures w14:val="none"/>
        </w:rPr>
        <w:t>Emily Robinson, Pflugerville</w:t>
      </w:r>
      <w:r w:rsidRPr="006A339F">
        <w:rPr>
          <w:rFonts w:ascii="Verdana" w:hAnsi="Verdana" w:cstheme="minorHAnsi"/>
          <w:sz w:val="24"/>
          <w:szCs w:val="24"/>
        </w:rPr>
        <w:t xml:space="preserve"> </w:t>
      </w:r>
    </w:p>
    <w:p w14:paraId="4F22BAAD" w14:textId="309B0D55" w:rsidR="00723925" w:rsidRPr="006A339F" w:rsidRDefault="00723925" w:rsidP="00723925">
      <w:pPr>
        <w:spacing w:line="240" w:lineRule="auto"/>
        <w:contextualSpacing/>
        <w:rPr>
          <w:rFonts w:ascii="Verdana" w:hAnsi="Verdana" w:cstheme="minorHAnsi"/>
          <w:sz w:val="24"/>
          <w:szCs w:val="24"/>
        </w:rPr>
      </w:pPr>
      <w:r w:rsidRPr="006A339F">
        <w:rPr>
          <w:rFonts w:ascii="Verdana" w:hAnsi="Verdana" w:cstheme="minorHAnsi"/>
          <w:sz w:val="24"/>
          <w:szCs w:val="24"/>
        </w:rPr>
        <w:t>Jordan Smelley</w:t>
      </w:r>
      <w:r w:rsidR="0055350B" w:rsidRPr="006A339F">
        <w:rPr>
          <w:rFonts w:ascii="Verdana" w:hAnsi="Verdana" w:cstheme="minorHAnsi"/>
          <w:sz w:val="24"/>
          <w:szCs w:val="24"/>
        </w:rPr>
        <w:t xml:space="preserve">, </w:t>
      </w:r>
      <w:r w:rsidR="004B226F" w:rsidRPr="006A339F">
        <w:rPr>
          <w:rFonts w:ascii="Verdana" w:hAnsi="Verdana" w:cstheme="minorHAnsi"/>
          <w:sz w:val="24"/>
          <w:szCs w:val="24"/>
        </w:rPr>
        <w:t>Burleson</w:t>
      </w:r>
      <w:r w:rsidRPr="006A339F">
        <w:rPr>
          <w:rFonts w:ascii="Verdana" w:hAnsi="Verdana" w:cstheme="minorHAnsi"/>
          <w:sz w:val="24"/>
          <w:szCs w:val="24"/>
        </w:rPr>
        <w:t xml:space="preserve"> </w:t>
      </w:r>
      <w:r w:rsidR="00B42E66" w:rsidRPr="006A339F">
        <w:rPr>
          <w:rFonts w:ascii="Verdana" w:hAnsi="Verdana" w:cstheme="minorHAnsi"/>
          <w:sz w:val="24"/>
          <w:szCs w:val="24"/>
        </w:rPr>
        <w:t>(Virtual)</w:t>
      </w:r>
    </w:p>
    <w:p w14:paraId="60E0D033" w14:textId="10A48463" w:rsidR="00B541E5" w:rsidRPr="006A339F" w:rsidRDefault="00B541E5" w:rsidP="00723925">
      <w:pPr>
        <w:spacing w:line="240" w:lineRule="auto"/>
        <w:contextualSpacing/>
        <w:rPr>
          <w:rFonts w:ascii="Verdana" w:hAnsi="Verdana" w:cstheme="minorHAnsi"/>
          <w:sz w:val="24"/>
          <w:szCs w:val="24"/>
        </w:rPr>
      </w:pPr>
      <w:r w:rsidRPr="006A339F">
        <w:rPr>
          <w:rFonts w:ascii="Verdana" w:hAnsi="Verdana" w:cstheme="minorHAnsi"/>
          <w:sz w:val="24"/>
          <w:szCs w:val="24"/>
        </w:rPr>
        <w:t>Karen Stanfill</w:t>
      </w:r>
      <w:r w:rsidR="000E1B47" w:rsidRPr="006A339F">
        <w:rPr>
          <w:rFonts w:ascii="Verdana" w:hAnsi="Verdana" w:cstheme="minorHAnsi"/>
          <w:sz w:val="24"/>
          <w:szCs w:val="24"/>
        </w:rPr>
        <w:t>, Houston</w:t>
      </w:r>
      <w:r w:rsidR="0066338F" w:rsidRPr="006A339F">
        <w:rPr>
          <w:rFonts w:ascii="Verdana" w:hAnsi="Verdana" w:cstheme="minorHAnsi"/>
          <w:sz w:val="24"/>
          <w:szCs w:val="24"/>
        </w:rPr>
        <w:t xml:space="preserve"> (Virtual</w:t>
      </w:r>
      <w:r w:rsidR="00004B64" w:rsidRPr="006A339F">
        <w:rPr>
          <w:rFonts w:ascii="Verdana" w:hAnsi="Verdana" w:cstheme="minorHAnsi"/>
          <w:sz w:val="24"/>
          <w:szCs w:val="24"/>
        </w:rPr>
        <w:t>)</w:t>
      </w:r>
    </w:p>
    <w:p w14:paraId="7C669C92" w14:textId="633992DA" w:rsidR="00DA0563" w:rsidRPr="006A339F" w:rsidRDefault="00DA0563" w:rsidP="00DA0563">
      <w:pPr>
        <w:spacing w:line="240" w:lineRule="auto"/>
        <w:contextualSpacing/>
        <w:rPr>
          <w:rFonts w:ascii="Verdana" w:hAnsi="Verdana" w:cstheme="minorHAnsi"/>
          <w:sz w:val="24"/>
          <w:szCs w:val="24"/>
        </w:rPr>
      </w:pPr>
      <w:r w:rsidRPr="006A339F">
        <w:rPr>
          <w:rFonts w:ascii="Verdana" w:hAnsi="Verdana" w:cstheme="minorHAnsi"/>
          <w:sz w:val="24"/>
          <w:szCs w:val="24"/>
        </w:rPr>
        <w:t>Michele Harper, San Marcos (Virtual)</w:t>
      </w:r>
    </w:p>
    <w:p w14:paraId="6745DD6E" w14:textId="77777777" w:rsidR="00DA0563" w:rsidRPr="006A339F" w:rsidRDefault="00DA0563" w:rsidP="00DA0563">
      <w:pPr>
        <w:spacing w:line="240" w:lineRule="auto"/>
        <w:contextualSpacing/>
        <w:rPr>
          <w:rFonts w:ascii="Verdana" w:hAnsi="Verdana" w:cstheme="minorHAnsi"/>
          <w:sz w:val="24"/>
          <w:szCs w:val="24"/>
        </w:rPr>
      </w:pPr>
    </w:p>
    <w:p w14:paraId="43763C15" w14:textId="21656E29" w:rsidR="00B541E5" w:rsidRPr="006A339F" w:rsidRDefault="000B4DF7" w:rsidP="00F12637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 xml:space="preserve">Council Members </w:t>
      </w:r>
      <w:r w:rsidR="00B541E5" w:rsidRPr="006A339F">
        <w:rPr>
          <w:rFonts w:ascii="Verdana" w:hAnsi="Verdana" w:cstheme="minorHAnsi"/>
          <w:b/>
          <w:bCs/>
          <w:sz w:val="28"/>
          <w:szCs w:val="28"/>
        </w:rPr>
        <w:t>Absent</w:t>
      </w:r>
    </w:p>
    <w:p w14:paraId="049B38B7" w14:textId="77777777" w:rsidR="0066338F" w:rsidRPr="006A339F" w:rsidRDefault="0066338F" w:rsidP="0066338F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/>
          <w:kern w:val="0"/>
          <w:sz w:val="24"/>
          <w14:ligatures w14:val="none"/>
        </w:rPr>
        <w:t>Cheryl A Fuller, Austin</w:t>
      </w:r>
    </w:p>
    <w:p w14:paraId="39B586BB" w14:textId="77777777" w:rsidR="0066338F" w:rsidRPr="006A339F" w:rsidRDefault="0066338F" w:rsidP="0066338F">
      <w:pPr>
        <w:spacing w:line="240" w:lineRule="auto"/>
        <w:contextualSpacing/>
        <w:rPr>
          <w:rFonts w:ascii="Verdana" w:hAnsi="Verdana" w:cstheme="minorHAnsi"/>
          <w:sz w:val="24"/>
          <w:szCs w:val="24"/>
        </w:rPr>
      </w:pPr>
      <w:r w:rsidRPr="006A339F">
        <w:rPr>
          <w:rFonts w:ascii="Verdana" w:hAnsi="Verdana" w:cstheme="minorHAnsi"/>
          <w:sz w:val="24"/>
          <w:szCs w:val="24"/>
        </w:rPr>
        <w:t>Daniel Solcher, Allen</w:t>
      </w:r>
    </w:p>
    <w:p w14:paraId="61EB978A" w14:textId="77777777" w:rsidR="00795798" w:rsidRPr="006A339F" w:rsidRDefault="00795798" w:rsidP="00F12637">
      <w:pPr>
        <w:spacing w:line="240" w:lineRule="auto"/>
        <w:contextualSpacing/>
        <w:rPr>
          <w:rFonts w:ascii="Verdana" w:hAnsi="Verdana" w:cstheme="minorHAnsi"/>
          <w:sz w:val="24"/>
          <w:szCs w:val="24"/>
        </w:rPr>
      </w:pPr>
    </w:p>
    <w:p w14:paraId="1DBB01FD" w14:textId="77777777" w:rsidR="008144F0" w:rsidRPr="006A339F" w:rsidRDefault="008144F0" w:rsidP="008144F0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>TWC Employees Attendance as Panelist:</w:t>
      </w:r>
    </w:p>
    <w:p w14:paraId="2F011BB9" w14:textId="13DDDD59" w:rsidR="00B42256" w:rsidRPr="006A339F" w:rsidRDefault="0066338F" w:rsidP="008144F0">
      <w:pPr>
        <w:spacing w:line="240" w:lineRule="auto"/>
        <w:contextualSpacing/>
        <w:rPr>
          <w:rFonts w:ascii="Verdana" w:hAnsi="Verdana" w:cstheme="minorHAnsi"/>
        </w:rPr>
      </w:pPr>
      <w:r w:rsidRPr="006A339F">
        <w:rPr>
          <w:rFonts w:ascii="Verdana" w:hAnsi="Verdana" w:cstheme="minorHAnsi"/>
        </w:rPr>
        <w:t xml:space="preserve">Melinda Paninski, Tammy Martin, Scott McCune, </w:t>
      </w:r>
      <w:r w:rsidR="00B42256" w:rsidRPr="006A339F">
        <w:rPr>
          <w:rFonts w:ascii="Verdana" w:hAnsi="Verdana" w:cstheme="minorHAnsi"/>
        </w:rPr>
        <w:t>Belinda Valero, Christopher Speckhard, Christy Lerche, Jamie Haywood, Jonas Schwartz, Sara Weems, Daniel Prado</w:t>
      </w:r>
      <w:r w:rsidR="006119CC" w:rsidRPr="006A339F">
        <w:rPr>
          <w:rFonts w:ascii="Verdana" w:hAnsi="Verdana" w:cstheme="minorHAnsi"/>
        </w:rPr>
        <w:t>, Shelly Caillouet</w:t>
      </w:r>
      <w:r w:rsidR="001A124B" w:rsidRPr="006A339F">
        <w:rPr>
          <w:rFonts w:ascii="Verdana" w:hAnsi="Verdana" w:cstheme="minorHAnsi"/>
        </w:rPr>
        <w:t>, Daniel Clark, Anne</w:t>
      </w:r>
      <w:r w:rsidR="00877C3F" w:rsidRPr="006A339F">
        <w:rPr>
          <w:rFonts w:ascii="Verdana" w:hAnsi="Verdana" w:cstheme="minorHAnsi"/>
        </w:rPr>
        <w:t xml:space="preserve"> Hoscheit</w:t>
      </w:r>
      <w:r w:rsidR="00EC0216" w:rsidRPr="006A339F">
        <w:rPr>
          <w:rFonts w:ascii="Verdana" w:hAnsi="Verdana" w:cstheme="minorHAnsi"/>
        </w:rPr>
        <w:t>, Heather Cooke</w:t>
      </w:r>
      <w:r w:rsidR="00DA0563" w:rsidRPr="006A339F">
        <w:rPr>
          <w:rFonts w:ascii="Verdana" w:hAnsi="Verdana" w:cstheme="minorHAnsi"/>
        </w:rPr>
        <w:t>, Commissioner Alberto Trev</w:t>
      </w:r>
      <w:r w:rsidR="008524B0" w:rsidRPr="006A339F">
        <w:rPr>
          <w:rFonts w:ascii="Verdana" w:hAnsi="Verdana" w:cstheme="minorHAnsi"/>
        </w:rPr>
        <w:t>ino</w:t>
      </w:r>
      <w:r w:rsidR="00AC5080" w:rsidRPr="006A339F">
        <w:rPr>
          <w:rFonts w:ascii="Verdana" w:hAnsi="Verdana" w:cstheme="minorHAnsi"/>
        </w:rPr>
        <w:t>, Lisa Godwin</w:t>
      </w:r>
      <w:r w:rsidR="00621B5A" w:rsidRPr="006A339F">
        <w:rPr>
          <w:rFonts w:ascii="Verdana" w:hAnsi="Verdana" w:cstheme="minorHAnsi"/>
        </w:rPr>
        <w:t>, Laura Villarreal</w:t>
      </w:r>
    </w:p>
    <w:p w14:paraId="18E691E1" w14:textId="77777777" w:rsidR="00B42256" w:rsidRPr="006A339F" w:rsidRDefault="00B42256" w:rsidP="008144F0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</w:p>
    <w:p w14:paraId="07F1E1E6" w14:textId="1A1D7D3F" w:rsidR="008144F0" w:rsidRPr="006A339F" w:rsidRDefault="008144F0" w:rsidP="008144F0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 xml:space="preserve">TWC Employees Attendance non-Panelist: </w:t>
      </w:r>
      <w:r w:rsidR="00C05653" w:rsidRPr="006A339F">
        <w:rPr>
          <w:rFonts w:ascii="Verdana" w:hAnsi="Verdana" w:cstheme="minorHAnsi"/>
          <w:b/>
          <w:bCs/>
          <w:sz w:val="28"/>
          <w:szCs w:val="28"/>
        </w:rPr>
        <w:t>57</w:t>
      </w:r>
    </w:p>
    <w:p w14:paraId="6573E4E2" w14:textId="77777777" w:rsidR="008144F0" w:rsidRPr="006A339F" w:rsidRDefault="008144F0" w:rsidP="008144F0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</w:p>
    <w:p w14:paraId="2A209203" w14:textId="3BE76493" w:rsidR="008144F0" w:rsidRPr="006A339F" w:rsidRDefault="008144F0" w:rsidP="008144F0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 xml:space="preserve">Public Attendance: </w:t>
      </w:r>
      <w:r w:rsidR="00100B98" w:rsidRPr="006A339F">
        <w:rPr>
          <w:rFonts w:ascii="Verdana" w:hAnsi="Verdana" w:cstheme="minorHAnsi"/>
          <w:b/>
          <w:bCs/>
          <w:sz w:val="28"/>
          <w:szCs w:val="28"/>
        </w:rPr>
        <w:t>63</w:t>
      </w:r>
    </w:p>
    <w:p w14:paraId="3E8E43BF" w14:textId="77777777" w:rsidR="008144F0" w:rsidRPr="006A339F" w:rsidRDefault="008144F0" w:rsidP="008144F0">
      <w:pPr>
        <w:spacing w:line="240" w:lineRule="auto"/>
        <w:contextualSpacing/>
        <w:rPr>
          <w:rFonts w:ascii="Verdana" w:hAnsi="Verdana" w:cstheme="minorHAnsi"/>
          <w:sz w:val="24"/>
          <w:szCs w:val="24"/>
        </w:rPr>
      </w:pPr>
    </w:p>
    <w:p w14:paraId="72C9DB3D" w14:textId="77777777" w:rsidR="008144F0" w:rsidRPr="006A339F" w:rsidRDefault="008144F0" w:rsidP="008144F0">
      <w:pPr>
        <w:spacing w:line="240" w:lineRule="auto"/>
        <w:contextualSpacing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>Welcome</w:t>
      </w:r>
    </w:p>
    <w:p w14:paraId="44EC9FBB" w14:textId="77777777" w:rsidR="008144F0" w:rsidRPr="006A339F" w:rsidRDefault="008144F0" w:rsidP="00C8181E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 w:cstheme="minorHAnsi"/>
          <w:sz w:val="24"/>
          <w:szCs w:val="24"/>
        </w:rPr>
      </w:pPr>
      <w:r w:rsidRPr="006A339F">
        <w:rPr>
          <w:rFonts w:ascii="Verdana" w:hAnsi="Verdana" w:cstheme="minorHAnsi"/>
          <w:sz w:val="24"/>
          <w:szCs w:val="24"/>
        </w:rPr>
        <w:lastRenderedPageBreak/>
        <w:t>The meeting was called to order at noon by Gennadiy Goldenshteyn, Chair.</w:t>
      </w:r>
    </w:p>
    <w:p w14:paraId="1BAAB8E5" w14:textId="77777777" w:rsidR="00C8181E" w:rsidRPr="006A339F" w:rsidRDefault="008144F0" w:rsidP="00C8181E">
      <w:pPr>
        <w:pStyle w:val="ListParagraph"/>
        <w:numPr>
          <w:ilvl w:val="1"/>
          <w:numId w:val="1"/>
        </w:numPr>
        <w:spacing w:line="240" w:lineRule="auto"/>
        <w:rPr>
          <w:rFonts w:ascii="Verdana" w:hAnsi="Verdana" w:cstheme="minorHAnsi"/>
          <w:sz w:val="24"/>
          <w:szCs w:val="24"/>
        </w:rPr>
      </w:pPr>
      <w:r w:rsidRPr="006A339F">
        <w:rPr>
          <w:rFonts w:ascii="Verdana" w:hAnsi="Verdana" w:cstheme="minorHAnsi"/>
          <w:sz w:val="24"/>
          <w:szCs w:val="24"/>
        </w:rPr>
        <w:t>Welcome and opening comments.</w:t>
      </w:r>
    </w:p>
    <w:p w14:paraId="097801D4" w14:textId="3107BBF3" w:rsidR="00C8181E" w:rsidRPr="006A339F" w:rsidRDefault="00C8181E" w:rsidP="00C8181E">
      <w:pPr>
        <w:spacing w:line="240" w:lineRule="auto"/>
        <w:ind w:left="360"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/>
          <w:b/>
          <w:bCs/>
          <w:sz w:val="28"/>
          <w:szCs w:val="28"/>
        </w:rPr>
        <w:t>Scott McCune</w:t>
      </w:r>
      <w:r w:rsidR="003D75CC" w:rsidRPr="006A339F">
        <w:rPr>
          <w:rFonts w:ascii="Verdana" w:hAnsi="Verdana"/>
          <w:b/>
          <w:bCs/>
          <w:sz w:val="28"/>
          <w:szCs w:val="28"/>
        </w:rPr>
        <w:t xml:space="preserve"> </w:t>
      </w:r>
      <w:r w:rsidR="00BC3308" w:rsidRPr="006A339F">
        <w:rPr>
          <w:rFonts w:ascii="Verdana" w:hAnsi="Verdana"/>
          <w:b/>
          <w:bCs/>
          <w:sz w:val="28"/>
          <w:szCs w:val="28"/>
        </w:rPr>
        <w:t>Deputy VR Division Director</w:t>
      </w:r>
      <w:r w:rsidR="003D75CC" w:rsidRPr="006A339F">
        <w:rPr>
          <w:rFonts w:ascii="Verdana" w:hAnsi="Verdana"/>
          <w:b/>
          <w:bCs/>
          <w:sz w:val="28"/>
          <w:szCs w:val="28"/>
        </w:rPr>
        <w:t>,</w:t>
      </w:r>
      <w:r w:rsidRPr="006A339F">
        <w:rPr>
          <w:rFonts w:ascii="Verdana" w:hAnsi="Verdana"/>
          <w:b/>
          <w:bCs/>
          <w:sz w:val="28"/>
          <w:szCs w:val="28"/>
        </w:rPr>
        <w:t xml:space="preserve"> presented the VR budget update for FY24, highlighting expenditures, obligations, and projections for FY25-27, including the LAR request.</w:t>
      </w:r>
    </w:p>
    <w:p w14:paraId="37C2287E" w14:textId="2BA63F17" w:rsidR="00CC5695" w:rsidRPr="006A339F" w:rsidRDefault="00CC5695" w:rsidP="00BD01B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Arial"/>
        </w:rPr>
      </w:pPr>
      <w:r w:rsidRPr="006A339F">
        <w:rPr>
          <w:rStyle w:val="normaltextrun"/>
          <w:rFonts w:ascii="Verdana" w:hAnsi="Verdana" w:cs="Arial"/>
        </w:rPr>
        <w:t>A PowerPoint was provided with full details</w:t>
      </w:r>
    </w:p>
    <w:p w14:paraId="6FE7834D" w14:textId="77777777" w:rsidR="00990501" w:rsidRPr="006A339F" w:rsidRDefault="00990501" w:rsidP="00990501">
      <w:pPr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Key findings:</w:t>
      </w:r>
    </w:p>
    <w:p w14:paraId="1FA50754" w14:textId="77777777" w:rsidR="00990501" w:rsidRPr="006A339F" w:rsidRDefault="00990501" w:rsidP="00990501">
      <w:pPr>
        <w:numPr>
          <w:ilvl w:val="1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Client Services budget reached $214.5 million, but obligations exceeded budget, resulting in a negative balance of $15 million.</w:t>
      </w:r>
    </w:p>
    <w:p w14:paraId="1916D9CA" w14:textId="7AE0C36F" w:rsidR="00990501" w:rsidRPr="006A339F" w:rsidRDefault="00990501" w:rsidP="00990501">
      <w:pPr>
        <w:numPr>
          <w:ilvl w:val="1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This is due to a 70% make rate, with the remaining 30% returning to the budget.</w:t>
      </w:r>
    </w:p>
    <w:p w14:paraId="1CADDDAC" w14:textId="77777777" w:rsidR="00990501" w:rsidRPr="006A339F" w:rsidRDefault="00990501" w:rsidP="00990501">
      <w:pPr>
        <w:numPr>
          <w:ilvl w:val="1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Period performance allows for service authorizations to remain active for extended periods, resulting in a significant encumbrance balance of $64 million.</w:t>
      </w:r>
    </w:p>
    <w:p w14:paraId="551DC74E" w14:textId="77777777" w:rsidR="00990501" w:rsidRPr="006A339F" w:rsidRDefault="00990501" w:rsidP="00990501">
      <w:pPr>
        <w:numPr>
          <w:ilvl w:val="1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FY25 Client Services distribution plan is currently at $146 million, with $8 million expended so far.</w:t>
      </w:r>
    </w:p>
    <w:p w14:paraId="7273E189" w14:textId="77777777" w:rsidR="00990501" w:rsidRPr="006A339F" w:rsidRDefault="00990501" w:rsidP="00990501">
      <w:pPr>
        <w:numPr>
          <w:ilvl w:val="1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Projections for FY25-27 show significant increases in projected expenditures and participants, leading to a request for supplemental and exceptional items in the LAR.</w:t>
      </w:r>
    </w:p>
    <w:p w14:paraId="62A03BAE" w14:textId="77777777" w:rsidR="00990501" w:rsidRPr="006A339F" w:rsidRDefault="00990501" w:rsidP="00990501">
      <w:pPr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Discussion points:</w:t>
      </w:r>
    </w:p>
    <w:p w14:paraId="381E663E" w14:textId="77777777" w:rsidR="00990501" w:rsidRPr="006A339F" w:rsidRDefault="00990501" w:rsidP="00990501">
      <w:pPr>
        <w:numPr>
          <w:ilvl w:val="1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Council members expressed concern about the negative balance and the potential for budget constraints affecting service delivery.</w:t>
      </w:r>
    </w:p>
    <w:p w14:paraId="01451ECF" w14:textId="77777777" w:rsidR="00990501" w:rsidRPr="006A339F" w:rsidRDefault="00990501" w:rsidP="00990501">
      <w:pPr>
        <w:numPr>
          <w:ilvl w:val="1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They discussed the need for clear communication about available funds to VR counselors and staff.</w:t>
      </w:r>
    </w:p>
    <w:p w14:paraId="53BBAD36" w14:textId="77777777" w:rsidR="00990501" w:rsidRPr="006A339F" w:rsidRDefault="00990501" w:rsidP="00990501">
      <w:pPr>
        <w:numPr>
          <w:ilvl w:val="1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They highlighted the importance of effective budget management and service authorization cleanup to ensure timely expenditure of funds.</w:t>
      </w:r>
    </w:p>
    <w:p w14:paraId="61F0CB6E" w14:textId="77777777" w:rsidR="00990501" w:rsidRPr="006A339F" w:rsidRDefault="00990501" w:rsidP="00990501">
      <w:pPr>
        <w:numPr>
          <w:ilvl w:val="1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lastRenderedPageBreak/>
        <w:t>There was discussion about the difference between obligated funds and expended funds, and the need for transparency on both figures.</w:t>
      </w:r>
    </w:p>
    <w:p w14:paraId="6DB925F5" w14:textId="77777777" w:rsidR="00990501" w:rsidRPr="006A339F" w:rsidRDefault="00990501" w:rsidP="00990501">
      <w:pPr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Key takeaways:</w:t>
      </w:r>
    </w:p>
    <w:p w14:paraId="72F21087" w14:textId="77777777" w:rsidR="00990501" w:rsidRPr="006A339F" w:rsidRDefault="00990501" w:rsidP="00990501">
      <w:pPr>
        <w:numPr>
          <w:ilvl w:val="1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The budget is projected to increase significantly in the coming years.</w:t>
      </w:r>
    </w:p>
    <w:p w14:paraId="4B70F3DE" w14:textId="77777777" w:rsidR="00990501" w:rsidRPr="006A339F" w:rsidRDefault="00990501" w:rsidP="00990501">
      <w:pPr>
        <w:numPr>
          <w:ilvl w:val="1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The LAR request includes supplemental and exceptional items to draw down the full federal grant.</w:t>
      </w:r>
    </w:p>
    <w:p w14:paraId="474869FC" w14:textId="77777777" w:rsidR="00990501" w:rsidRPr="006A339F" w:rsidRDefault="00990501" w:rsidP="00990501">
      <w:pPr>
        <w:numPr>
          <w:ilvl w:val="1"/>
          <w:numId w:val="7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There is concern about potential budget constraints and the need for effective communication and budget management.</w:t>
      </w:r>
    </w:p>
    <w:p w14:paraId="19151F39" w14:textId="2BBDDA9C" w:rsidR="008144F0" w:rsidRPr="006A339F" w:rsidRDefault="008144F0" w:rsidP="008144F0">
      <w:pPr>
        <w:spacing w:after="0"/>
        <w:rPr>
          <w:rFonts w:ascii="Verdana" w:hAnsi="Verdana" w:cs="Courier New"/>
          <w:b/>
          <w:bCs/>
          <w:kern w:val="0"/>
          <w:sz w:val="28"/>
          <w:szCs w:val="28"/>
        </w:rPr>
      </w:pPr>
      <w:r w:rsidRPr="006A339F">
        <w:rPr>
          <w:rFonts w:ascii="Verdana" w:hAnsi="Verdana" w:cs="Courier New"/>
          <w:b/>
          <w:bCs/>
          <w:kern w:val="0"/>
          <w:sz w:val="28"/>
          <w:szCs w:val="28"/>
        </w:rPr>
        <w:t>PCG Rate Study Implementation Plan, Jamie Haywood, Deputy VR Division Director for Program Policy, and Support</w:t>
      </w:r>
    </w:p>
    <w:p w14:paraId="2929F399" w14:textId="77777777" w:rsidR="00401253" w:rsidRPr="006A339F" w:rsidRDefault="00401253" w:rsidP="004F6275">
      <w:pPr>
        <w:pStyle w:val="ListParagraph"/>
        <w:numPr>
          <w:ilvl w:val="0"/>
          <w:numId w:val="10"/>
        </w:numPr>
        <w:spacing w:after="0"/>
        <w:rPr>
          <w:rStyle w:val="normaltextrun"/>
          <w:rFonts w:ascii="Verdana" w:hAnsi="Verdana" w:cs="Courier New"/>
          <w:kern w:val="0"/>
          <w:sz w:val="24"/>
          <w:szCs w:val="24"/>
        </w:rPr>
      </w:pPr>
      <w:bookmarkStart w:id="0" w:name="_Hlk181041961"/>
      <w:r w:rsidRPr="006A339F">
        <w:rPr>
          <w:rStyle w:val="normaltextrun"/>
          <w:rFonts w:ascii="Verdana" w:hAnsi="Verdana" w:cs="Arial"/>
          <w:sz w:val="24"/>
          <w:szCs w:val="24"/>
          <w:shd w:val="clear" w:color="auto" w:fill="F5F5F5"/>
        </w:rPr>
        <w:t>PowerPoint was provided with more detail</w:t>
      </w:r>
    </w:p>
    <w:p w14:paraId="36EEFDF4" w14:textId="27A65D5D" w:rsidR="00EA7D82" w:rsidRPr="006A339F" w:rsidRDefault="00EA7D82" w:rsidP="00EA7D82">
      <w:pPr>
        <w:pStyle w:val="ListParagraph"/>
        <w:numPr>
          <w:ilvl w:val="1"/>
          <w:numId w:val="10"/>
        </w:numPr>
        <w:spacing w:after="0"/>
        <w:rPr>
          <w:rStyle w:val="normaltextrun"/>
          <w:rFonts w:ascii="Verdana" w:hAnsi="Verdana" w:cs="Courier New"/>
          <w:kern w:val="0"/>
          <w:sz w:val="24"/>
          <w:szCs w:val="24"/>
        </w:rPr>
      </w:pPr>
      <w:r w:rsidRPr="006A339F">
        <w:rPr>
          <w:rStyle w:val="normaltextrun"/>
          <w:rFonts w:ascii="Verdana" w:hAnsi="Verdana" w:cs="Arial"/>
          <w:sz w:val="24"/>
          <w:szCs w:val="24"/>
          <w:shd w:val="clear" w:color="auto" w:fill="F5F5F5"/>
        </w:rPr>
        <w:t>2024 Actuals</w:t>
      </w:r>
    </w:p>
    <w:p w14:paraId="43E9E236" w14:textId="10026C09" w:rsidR="00EA7D82" w:rsidRPr="006A339F" w:rsidRDefault="00EA7D82" w:rsidP="00EA7D82">
      <w:pPr>
        <w:pStyle w:val="ListParagraph"/>
        <w:numPr>
          <w:ilvl w:val="1"/>
          <w:numId w:val="10"/>
        </w:numPr>
        <w:spacing w:after="0"/>
        <w:rPr>
          <w:rStyle w:val="normaltextrun"/>
          <w:rFonts w:ascii="Verdana" w:hAnsi="Verdana" w:cs="Courier New"/>
          <w:kern w:val="0"/>
          <w:sz w:val="24"/>
          <w:szCs w:val="24"/>
        </w:rPr>
      </w:pPr>
      <w:r w:rsidRPr="006A339F">
        <w:rPr>
          <w:rStyle w:val="normaltextrun"/>
          <w:rFonts w:ascii="Verdana" w:hAnsi="Verdana" w:cs="Arial"/>
          <w:sz w:val="24"/>
          <w:szCs w:val="24"/>
          <w:shd w:val="clear" w:color="auto" w:fill="F5F5F5"/>
        </w:rPr>
        <w:t>2025 Projections</w:t>
      </w:r>
    </w:p>
    <w:p w14:paraId="6C1EA2F8" w14:textId="600D531B" w:rsidR="00E45CDB" w:rsidRPr="006A339F" w:rsidRDefault="00E45CDB" w:rsidP="00E45CDB">
      <w:pPr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Jamie Haywood</w:t>
      </w:r>
      <w:r w:rsidR="00352DBB" w:rsidRPr="006A339F">
        <w:rPr>
          <w:rFonts w:ascii="Verdana" w:hAnsi="Verdana"/>
          <w:sz w:val="24"/>
          <w:szCs w:val="24"/>
        </w:rPr>
        <w:t xml:space="preserve">, </w:t>
      </w:r>
      <w:r w:rsidR="00585D54" w:rsidRPr="006A339F">
        <w:rPr>
          <w:rFonts w:ascii="Verdana" w:hAnsi="Verdana"/>
          <w:sz w:val="24"/>
          <w:szCs w:val="24"/>
        </w:rPr>
        <w:t>Deputy VR Division Director,</w:t>
      </w:r>
      <w:r w:rsidRPr="006A339F">
        <w:rPr>
          <w:rFonts w:ascii="Verdana" w:hAnsi="Verdana"/>
          <w:sz w:val="24"/>
          <w:szCs w:val="24"/>
        </w:rPr>
        <w:t xml:space="preserve"> presented an update on the PCG rate study implementation, explaining the postponement of the first phase of implementation. </w:t>
      </w:r>
    </w:p>
    <w:p w14:paraId="6E5EF1B6" w14:textId="77777777" w:rsidR="00E45CDB" w:rsidRPr="006A339F" w:rsidRDefault="00E45CDB" w:rsidP="00E45CDB">
      <w:pPr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Key points:</w:t>
      </w:r>
    </w:p>
    <w:p w14:paraId="4B6BC96E" w14:textId="77777777" w:rsidR="00E45CDB" w:rsidRPr="006A339F" w:rsidRDefault="00E45CDB" w:rsidP="00E45CDB">
      <w:pPr>
        <w:numPr>
          <w:ilvl w:val="1"/>
          <w:numId w:val="1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The initial plan to implement the first 25% of rate increases in FY25 has been postponed to FY26 due to uncertainties in both state and federal funding.</w:t>
      </w:r>
    </w:p>
    <w:p w14:paraId="011B539C" w14:textId="77777777" w:rsidR="00E45CDB" w:rsidRPr="006A339F" w:rsidRDefault="00E45CDB" w:rsidP="00E45CDB">
      <w:pPr>
        <w:numPr>
          <w:ilvl w:val="1"/>
          <w:numId w:val="1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The implementation plan is now either a three-year phase-in (25% in FY26, 50% in FY27, 25% in FY28) or a two-phase implementation (50% in FY26, 50% in FY27).</w:t>
      </w:r>
    </w:p>
    <w:p w14:paraId="10634890" w14:textId="77777777" w:rsidR="00E45CDB" w:rsidRPr="006A339F" w:rsidRDefault="00E45CDB" w:rsidP="00E45CDB">
      <w:pPr>
        <w:numPr>
          <w:ilvl w:val="1"/>
          <w:numId w:val="1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The decision will be based on budget availability and sustainability of the rate increases.</w:t>
      </w:r>
    </w:p>
    <w:p w14:paraId="4BE37B54" w14:textId="77777777" w:rsidR="00E45CDB" w:rsidRPr="006A339F" w:rsidRDefault="00E45CDB" w:rsidP="00E45CDB">
      <w:pPr>
        <w:numPr>
          <w:ilvl w:val="1"/>
          <w:numId w:val="1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The communication and implementation plans are being finalized to ensure a smooth rollout once the plan is approved.</w:t>
      </w:r>
    </w:p>
    <w:bookmarkEnd w:id="0"/>
    <w:p w14:paraId="1FCE2944" w14:textId="77777777" w:rsidR="00850B4D" w:rsidRPr="006A339F" w:rsidRDefault="00850B4D" w:rsidP="00850B4D">
      <w:pPr>
        <w:rPr>
          <w:rFonts w:ascii="Verdana" w:hAnsi="Verdana"/>
          <w:b/>
          <w:bCs/>
          <w:sz w:val="32"/>
          <w:szCs w:val="32"/>
        </w:rPr>
      </w:pPr>
      <w:r w:rsidRPr="006A339F">
        <w:rPr>
          <w:rFonts w:ascii="Verdana" w:hAnsi="Verdana"/>
          <w:b/>
          <w:bCs/>
          <w:sz w:val="32"/>
          <w:szCs w:val="32"/>
        </w:rPr>
        <w:lastRenderedPageBreak/>
        <w:t>VR Division Report</w:t>
      </w:r>
    </w:p>
    <w:p w14:paraId="4311DFF5" w14:textId="3A331028" w:rsidR="00850B4D" w:rsidRPr="006A339F" w:rsidRDefault="00850B4D" w:rsidP="00850B4D">
      <w:pPr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 xml:space="preserve">Tammy </w:t>
      </w:r>
      <w:proofErr w:type="gramStart"/>
      <w:r w:rsidRPr="006A339F">
        <w:rPr>
          <w:rFonts w:ascii="Verdana" w:hAnsi="Verdana"/>
          <w:sz w:val="24"/>
          <w:szCs w:val="24"/>
        </w:rPr>
        <w:t>Martin</w:t>
      </w:r>
      <w:r w:rsidR="00BB3982" w:rsidRPr="006A339F">
        <w:rPr>
          <w:rFonts w:ascii="Verdana" w:hAnsi="Verdana"/>
          <w:sz w:val="24"/>
          <w:szCs w:val="24"/>
        </w:rPr>
        <w:t>,</w:t>
      </w:r>
      <w:r w:rsidRPr="006A339F">
        <w:rPr>
          <w:rFonts w:ascii="Verdana" w:hAnsi="Verdana"/>
          <w:sz w:val="24"/>
          <w:szCs w:val="24"/>
        </w:rPr>
        <w:t>,</w:t>
      </w:r>
      <w:proofErr w:type="gramEnd"/>
      <w:r w:rsidRPr="006A339F">
        <w:rPr>
          <w:rFonts w:ascii="Verdana" w:hAnsi="Verdana"/>
          <w:sz w:val="24"/>
          <w:szCs w:val="24"/>
        </w:rPr>
        <w:t xml:space="preserve"> Jamie Haywood, Scott McCune, Geoffrey Miller, and Christopher Speckhard provided updates on the VR division's activities and performance measures.</w:t>
      </w:r>
    </w:p>
    <w:p w14:paraId="1FC99412" w14:textId="77777777" w:rsidR="00850B4D" w:rsidRPr="006A339F" w:rsidRDefault="00850B4D" w:rsidP="00850B4D">
      <w:pPr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Key points:</w:t>
      </w:r>
    </w:p>
    <w:p w14:paraId="134236C1" w14:textId="77777777" w:rsidR="00850B4D" w:rsidRPr="006A339F" w:rsidRDefault="00850B4D" w:rsidP="00850B4D">
      <w:pPr>
        <w:numPr>
          <w:ilvl w:val="1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They highlighted the transition in leadership with Cheryl Fuller's departure and Scott McCune's interim director position.</w:t>
      </w:r>
    </w:p>
    <w:p w14:paraId="6E3B5723" w14:textId="1F8C7586" w:rsidR="00850B4D" w:rsidRPr="006A339F" w:rsidRDefault="00850B4D" w:rsidP="00850B4D">
      <w:pPr>
        <w:numPr>
          <w:ilvl w:val="1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 xml:space="preserve">They celebrated the successful events held for National Disability Employment and Awareness Month, including Lex Freidan </w:t>
      </w:r>
      <w:r w:rsidR="000D25FA" w:rsidRPr="006A339F">
        <w:rPr>
          <w:rFonts w:ascii="Verdana" w:hAnsi="Verdana"/>
          <w:sz w:val="24"/>
          <w:szCs w:val="24"/>
        </w:rPr>
        <w:t>HireAbility</w:t>
      </w:r>
      <w:r w:rsidRPr="006A339F">
        <w:rPr>
          <w:rFonts w:ascii="Verdana" w:hAnsi="Verdana"/>
          <w:sz w:val="24"/>
          <w:szCs w:val="24"/>
        </w:rPr>
        <w:t xml:space="preserve"> event and White Cane Day events.</w:t>
      </w:r>
    </w:p>
    <w:p w14:paraId="758ACF6D" w14:textId="77777777" w:rsidR="00850B4D" w:rsidRPr="006A339F" w:rsidRDefault="00850B4D" w:rsidP="00850B4D">
      <w:pPr>
        <w:numPr>
          <w:ilvl w:val="1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 xml:space="preserve">They reviewed the process for developing the Combined State Plan, focusing on the CSNA findings and the six VR goals. </w:t>
      </w:r>
    </w:p>
    <w:p w14:paraId="69447039" w14:textId="77777777" w:rsidR="00850B4D" w:rsidRPr="006A339F" w:rsidRDefault="00850B4D" w:rsidP="00850B4D">
      <w:pPr>
        <w:numPr>
          <w:ilvl w:val="1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They presented examples of projects aligned with the Combined State Plan goals, including:</w:t>
      </w:r>
    </w:p>
    <w:p w14:paraId="01921CA4" w14:textId="77777777" w:rsidR="00850B4D" w:rsidRPr="006A339F" w:rsidRDefault="00850B4D" w:rsidP="00850B4D">
      <w:pPr>
        <w:numPr>
          <w:ilvl w:val="2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Redesigning training for new VR counselors, RAs, and supervisors.</w:t>
      </w:r>
    </w:p>
    <w:p w14:paraId="5D618290" w14:textId="77777777" w:rsidR="00850B4D" w:rsidRPr="006A339F" w:rsidRDefault="00850B4D" w:rsidP="00850B4D">
      <w:pPr>
        <w:numPr>
          <w:ilvl w:val="2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Expanding career ladders for direct service delivery positions.</w:t>
      </w:r>
    </w:p>
    <w:p w14:paraId="00DAB6FE" w14:textId="77777777" w:rsidR="00850B4D" w:rsidRPr="006A339F" w:rsidRDefault="00850B4D" w:rsidP="00850B4D">
      <w:pPr>
        <w:numPr>
          <w:ilvl w:val="2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Implementing a workforce planning strategy.</w:t>
      </w:r>
    </w:p>
    <w:p w14:paraId="61AAE3B2" w14:textId="77777777" w:rsidR="00850B4D" w:rsidRPr="006A339F" w:rsidRDefault="00850B4D" w:rsidP="00850B4D">
      <w:pPr>
        <w:numPr>
          <w:ilvl w:val="2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Updating salary guidelines.</w:t>
      </w:r>
    </w:p>
    <w:p w14:paraId="73EE110F" w14:textId="77777777" w:rsidR="00850B4D" w:rsidRPr="006A339F" w:rsidRDefault="00850B4D" w:rsidP="00850B4D">
      <w:pPr>
        <w:numPr>
          <w:ilvl w:val="2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Implementing a referral and coordination process with workforce centers.</w:t>
      </w:r>
    </w:p>
    <w:p w14:paraId="2617E7BE" w14:textId="21032E02" w:rsidR="00C10446" w:rsidRPr="006A339F" w:rsidRDefault="00C10446" w:rsidP="008144F0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>VR Performance Update, Christopher Speckhard, Manager VRGIS Team</w:t>
      </w:r>
      <w:r w:rsidR="00FC0BD5" w:rsidRPr="006A339F">
        <w:rPr>
          <w:rFonts w:ascii="Verdana" w:hAnsi="Verdana" w:cstheme="minorHAnsi"/>
          <w:b/>
          <w:bCs/>
          <w:sz w:val="28"/>
          <w:szCs w:val="28"/>
        </w:rPr>
        <w:t xml:space="preserve"> Information, Innovation, and Insight </w:t>
      </w:r>
      <w:r w:rsidR="00844CDC" w:rsidRPr="006A339F">
        <w:rPr>
          <w:rFonts w:ascii="Verdana" w:hAnsi="Verdana"/>
          <w:b/>
          <w:bCs/>
          <w:sz w:val="28"/>
          <w:szCs w:val="28"/>
        </w:rPr>
        <w:t>(I|3) Division</w:t>
      </w:r>
    </w:p>
    <w:p w14:paraId="4A726B2F" w14:textId="77777777" w:rsidR="0046052C" w:rsidRPr="006A339F" w:rsidRDefault="0046052C" w:rsidP="0046052C">
      <w:pPr>
        <w:numPr>
          <w:ilvl w:val="1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They discussed performance measures for each goal, including:</w:t>
      </w:r>
    </w:p>
    <w:p w14:paraId="2286D72C" w14:textId="77777777" w:rsidR="0046052C" w:rsidRPr="006A339F" w:rsidRDefault="0046052C" w:rsidP="0046052C">
      <w:pPr>
        <w:numPr>
          <w:ilvl w:val="2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Turnover rate, provider recruitment, policy streamlining, customer satisfaction, participant engagement, and work-based learning opportunities.</w:t>
      </w:r>
    </w:p>
    <w:p w14:paraId="29F97872" w14:textId="77777777" w:rsidR="0046052C" w:rsidRPr="006A339F" w:rsidRDefault="0046052C" w:rsidP="0046052C">
      <w:pPr>
        <w:numPr>
          <w:ilvl w:val="1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lastRenderedPageBreak/>
        <w:t>They highlighted key trends in VR performance data, including:</w:t>
      </w:r>
    </w:p>
    <w:p w14:paraId="628E6F80" w14:textId="77777777" w:rsidR="0046052C" w:rsidRPr="006A339F" w:rsidRDefault="0046052C" w:rsidP="0046052C">
      <w:pPr>
        <w:numPr>
          <w:ilvl w:val="2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Increased participation, particularly in intellectual and learning disabilities.</w:t>
      </w:r>
    </w:p>
    <w:p w14:paraId="0D586349" w14:textId="77777777" w:rsidR="0046052C" w:rsidRPr="006A339F" w:rsidRDefault="0046052C" w:rsidP="0046052C">
      <w:pPr>
        <w:numPr>
          <w:ilvl w:val="2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A slight decrease in successful closure rates.</w:t>
      </w:r>
    </w:p>
    <w:p w14:paraId="12E59C92" w14:textId="77777777" w:rsidR="0046052C" w:rsidRPr="006A339F" w:rsidRDefault="0046052C" w:rsidP="0046052C">
      <w:pPr>
        <w:numPr>
          <w:ilvl w:val="2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Continued growth in median earnings.</w:t>
      </w:r>
    </w:p>
    <w:p w14:paraId="0DB45799" w14:textId="77777777" w:rsidR="0046052C" w:rsidRPr="006A339F" w:rsidRDefault="0046052C" w:rsidP="0046052C">
      <w:pPr>
        <w:numPr>
          <w:ilvl w:val="2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Stable retention rates.</w:t>
      </w:r>
    </w:p>
    <w:p w14:paraId="5A9131CB" w14:textId="77777777" w:rsidR="0046052C" w:rsidRPr="006A339F" w:rsidRDefault="0046052C" w:rsidP="0046052C">
      <w:pPr>
        <w:numPr>
          <w:ilvl w:val="2"/>
          <w:numId w:val="30"/>
        </w:numPr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Significant trends in the performance of individuals with traumatic brain injury, stroke, and spinal cord injury.</w:t>
      </w:r>
    </w:p>
    <w:p w14:paraId="4160A764" w14:textId="003B0583" w:rsidR="00844CDC" w:rsidRPr="006A339F" w:rsidRDefault="00844CDC" w:rsidP="008144F0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  <w:r w:rsidRPr="006A339F">
        <w:rPr>
          <w:rFonts w:ascii="Verdana" w:hAnsi="Verdana"/>
          <w:b/>
          <w:bCs/>
          <w:sz w:val="28"/>
          <w:szCs w:val="28"/>
        </w:rPr>
        <w:t>Order of Selection and Prioritization Approach Discussion, Tammy Martin</w:t>
      </w:r>
    </w:p>
    <w:p w14:paraId="0B87E9AA" w14:textId="77777777" w:rsidR="008E1DEC" w:rsidRPr="006A339F" w:rsidRDefault="008E1DEC" w:rsidP="008E1DEC">
      <w:pPr>
        <w:pStyle w:val="ListParagraph"/>
        <w:numPr>
          <w:ilvl w:val="0"/>
          <w:numId w:val="10"/>
        </w:numPr>
        <w:spacing w:after="0" w:line="360" w:lineRule="auto"/>
        <w:rPr>
          <w:rFonts w:ascii="Verdana" w:hAnsi="Verdana"/>
        </w:rPr>
      </w:pPr>
      <w:r w:rsidRPr="006A339F">
        <w:rPr>
          <w:rFonts w:ascii="Verdana" w:hAnsi="Verdana"/>
        </w:rPr>
        <w:t>Order of Selection Overview: Requirements and Process</w:t>
      </w:r>
    </w:p>
    <w:p w14:paraId="781BC7BE" w14:textId="77777777" w:rsidR="008E1DEC" w:rsidRPr="006A339F" w:rsidRDefault="008E1DEC" w:rsidP="008E1DEC">
      <w:pPr>
        <w:pStyle w:val="ListParagraph"/>
        <w:numPr>
          <w:ilvl w:val="0"/>
          <w:numId w:val="10"/>
        </w:numPr>
        <w:spacing w:after="0" w:line="360" w:lineRule="auto"/>
        <w:rPr>
          <w:rFonts w:ascii="Verdana" w:hAnsi="Verdana"/>
        </w:rPr>
      </w:pPr>
      <w:r w:rsidRPr="006A339F">
        <w:rPr>
          <w:rFonts w:ascii="Verdana" w:hAnsi="Verdana"/>
        </w:rPr>
        <w:t xml:space="preserve">Prioritization Approach </w:t>
      </w:r>
    </w:p>
    <w:p w14:paraId="5CCAAB93" w14:textId="77777777" w:rsidR="008E1DEC" w:rsidRPr="006A339F" w:rsidRDefault="008E1DEC" w:rsidP="008E1DEC">
      <w:pPr>
        <w:pStyle w:val="ListParagraph"/>
        <w:numPr>
          <w:ilvl w:val="0"/>
          <w:numId w:val="10"/>
        </w:numPr>
        <w:spacing w:after="0" w:line="360" w:lineRule="auto"/>
        <w:rPr>
          <w:rFonts w:ascii="Verdana" w:hAnsi="Verdana"/>
        </w:rPr>
      </w:pPr>
      <w:r w:rsidRPr="006A339F">
        <w:rPr>
          <w:rFonts w:ascii="Verdana" w:hAnsi="Verdana"/>
        </w:rPr>
        <w:t>2025 Path Forward</w:t>
      </w:r>
    </w:p>
    <w:p w14:paraId="1C286F6D" w14:textId="77777777" w:rsidR="009C38DE" w:rsidRPr="006A339F" w:rsidRDefault="009C38DE" w:rsidP="009C38DE">
      <w:pPr>
        <w:numPr>
          <w:ilvl w:val="0"/>
          <w:numId w:val="10"/>
        </w:numPr>
        <w:rPr>
          <w:rFonts w:ascii="Verdana" w:hAnsi="Verdana"/>
        </w:rPr>
      </w:pPr>
      <w:r w:rsidRPr="006A339F">
        <w:rPr>
          <w:rFonts w:ascii="Verdana" w:hAnsi="Verdana"/>
        </w:rPr>
        <w:t>Tammy Martin explained the process for implementing an order of selection in VR programs when resources become limited.</w:t>
      </w:r>
    </w:p>
    <w:p w14:paraId="56477540" w14:textId="77777777" w:rsidR="009C38DE" w:rsidRPr="006A339F" w:rsidRDefault="009C38DE" w:rsidP="009C38DE">
      <w:pPr>
        <w:numPr>
          <w:ilvl w:val="0"/>
          <w:numId w:val="10"/>
        </w:numPr>
        <w:rPr>
          <w:rFonts w:ascii="Verdana" w:hAnsi="Verdana"/>
        </w:rPr>
      </w:pPr>
      <w:r w:rsidRPr="006A339F">
        <w:rPr>
          <w:rFonts w:ascii="Verdana" w:hAnsi="Verdana"/>
        </w:rPr>
        <w:t>Key points:</w:t>
      </w:r>
    </w:p>
    <w:p w14:paraId="0E69EB20" w14:textId="77777777" w:rsidR="009C38DE" w:rsidRPr="006A339F" w:rsidRDefault="009C38DE" w:rsidP="009C38DE">
      <w:pPr>
        <w:numPr>
          <w:ilvl w:val="1"/>
          <w:numId w:val="10"/>
        </w:numPr>
        <w:rPr>
          <w:rFonts w:ascii="Verdana" w:hAnsi="Verdana"/>
        </w:rPr>
      </w:pPr>
      <w:r w:rsidRPr="006A339F">
        <w:rPr>
          <w:rFonts w:ascii="Verdana" w:hAnsi="Verdana"/>
        </w:rPr>
        <w:t>The order of selection prioritizes individuals with most significant disabilities first.</w:t>
      </w:r>
    </w:p>
    <w:p w14:paraId="106DDA0F" w14:textId="77777777" w:rsidR="009C38DE" w:rsidRPr="006A339F" w:rsidRDefault="009C38DE" w:rsidP="009C38DE">
      <w:pPr>
        <w:numPr>
          <w:ilvl w:val="1"/>
          <w:numId w:val="10"/>
        </w:numPr>
        <w:rPr>
          <w:rFonts w:ascii="Verdana" w:hAnsi="Verdana"/>
        </w:rPr>
      </w:pPr>
      <w:r w:rsidRPr="006A339F">
        <w:rPr>
          <w:rFonts w:ascii="Verdana" w:hAnsi="Verdana"/>
        </w:rPr>
        <w:t>The process involves consultation with RSA, the RCT, CAP, and other stakeholders.</w:t>
      </w:r>
    </w:p>
    <w:p w14:paraId="61532419" w14:textId="77777777" w:rsidR="009C38DE" w:rsidRPr="006A339F" w:rsidRDefault="009C38DE" w:rsidP="009C38DE">
      <w:pPr>
        <w:numPr>
          <w:ilvl w:val="1"/>
          <w:numId w:val="10"/>
        </w:numPr>
        <w:rPr>
          <w:rFonts w:ascii="Verdana" w:hAnsi="Verdana"/>
        </w:rPr>
      </w:pPr>
      <w:r w:rsidRPr="006A339F">
        <w:rPr>
          <w:rFonts w:ascii="Verdana" w:hAnsi="Verdana"/>
        </w:rPr>
        <w:t>It includes public meetings, staff training, and a comprehensive waitlist management system.</w:t>
      </w:r>
    </w:p>
    <w:p w14:paraId="4D9CCB31" w14:textId="77777777" w:rsidR="009C38DE" w:rsidRPr="006A339F" w:rsidRDefault="009C38DE" w:rsidP="009C38DE">
      <w:pPr>
        <w:numPr>
          <w:ilvl w:val="1"/>
          <w:numId w:val="10"/>
        </w:numPr>
        <w:rPr>
          <w:rFonts w:ascii="Verdana" w:hAnsi="Verdana"/>
        </w:rPr>
      </w:pPr>
      <w:r w:rsidRPr="006A339F">
        <w:rPr>
          <w:rFonts w:ascii="Verdana" w:hAnsi="Verdana"/>
        </w:rPr>
        <w:t>The classification criteria for most significantly disabled, significantly disabled, and individuals with disabilities were outlined.</w:t>
      </w:r>
    </w:p>
    <w:p w14:paraId="132BF729" w14:textId="5285441D" w:rsidR="009C38DE" w:rsidRPr="006A339F" w:rsidRDefault="009C38DE" w:rsidP="009C38DE">
      <w:pPr>
        <w:numPr>
          <w:ilvl w:val="1"/>
          <w:numId w:val="10"/>
        </w:numPr>
        <w:rPr>
          <w:rFonts w:ascii="Verdana" w:hAnsi="Verdana"/>
        </w:rPr>
      </w:pPr>
      <w:r w:rsidRPr="006A339F">
        <w:rPr>
          <w:rFonts w:ascii="Verdana" w:hAnsi="Verdana"/>
        </w:rPr>
        <w:t xml:space="preserve">There are specific requirements for continuing </w:t>
      </w:r>
      <w:r w:rsidR="00A92924" w:rsidRPr="006A339F">
        <w:rPr>
          <w:rFonts w:ascii="Verdana" w:hAnsi="Verdana"/>
        </w:rPr>
        <w:t>PreETS</w:t>
      </w:r>
      <w:r w:rsidRPr="006A339F">
        <w:rPr>
          <w:rFonts w:ascii="Verdana" w:hAnsi="Verdana"/>
        </w:rPr>
        <w:t xml:space="preserve"> and other services for eligible individuals.</w:t>
      </w:r>
    </w:p>
    <w:p w14:paraId="18B5AA00" w14:textId="77777777" w:rsidR="009C38DE" w:rsidRPr="006A339F" w:rsidRDefault="009C38DE" w:rsidP="009C38DE">
      <w:pPr>
        <w:numPr>
          <w:ilvl w:val="1"/>
          <w:numId w:val="10"/>
        </w:numPr>
        <w:rPr>
          <w:rFonts w:ascii="Verdana" w:hAnsi="Verdana"/>
        </w:rPr>
      </w:pPr>
      <w:r w:rsidRPr="006A339F">
        <w:rPr>
          <w:rFonts w:ascii="Verdana" w:hAnsi="Verdana"/>
        </w:rPr>
        <w:t>The council discussed the potential timeline for implementing an order of selection in Texas, with estimates ranging from several months to a year.</w:t>
      </w:r>
    </w:p>
    <w:p w14:paraId="0C478E21" w14:textId="77777777" w:rsidR="009C38DE" w:rsidRPr="006A339F" w:rsidRDefault="009C38DE" w:rsidP="009C38DE">
      <w:pPr>
        <w:numPr>
          <w:ilvl w:val="1"/>
          <w:numId w:val="10"/>
        </w:numPr>
        <w:rPr>
          <w:rFonts w:ascii="Verdana" w:hAnsi="Verdana"/>
        </w:rPr>
      </w:pPr>
      <w:r w:rsidRPr="006A339F">
        <w:rPr>
          <w:rFonts w:ascii="Verdana" w:hAnsi="Verdana"/>
        </w:rPr>
        <w:lastRenderedPageBreak/>
        <w:t>They acknowledged the importance of maintaining a clear and consistent approach to prioritization.</w:t>
      </w:r>
    </w:p>
    <w:p w14:paraId="30245072" w14:textId="77777777" w:rsidR="009C38DE" w:rsidRPr="006A339F" w:rsidRDefault="009C38DE" w:rsidP="009C38DE">
      <w:pPr>
        <w:numPr>
          <w:ilvl w:val="1"/>
          <w:numId w:val="10"/>
        </w:numPr>
        <w:rPr>
          <w:rFonts w:ascii="Verdana" w:hAnsi="Verdana"/>
        </w:rPr>
      </w:pPr>
      <w:r w:rsidRPr="006A339F">
        <w:rPr>
          <w:rFonts w:ascii="Verdana" w:hAnsi="Verdana"/>
        </w:rPr>
        <w:t>There was a discussion about the trigger for implementing an order of selection and the potential implications for staffing, service delivery, and program funding.</w:t>
      </w:r>
    </w:p>
    <w:p w14:paraId="7C2EF1B0" w14:textId="77777777" w:rsidR="009C38DE" w:rsidRPr="006A339F" w:rsidRDefault="009C38DE" w:rsidP="009C38DE">
      <w:pPr>
        <w:numPr>
          <w:ilvl w:val="1"/>
          <w:numId w:val="10"/>
        </w:numPr>
        <w:rPr>
          <w:rFonts w:ascii="Verdana" w:hAnsi="Verdana"/>
        </w:rPr>
      </w:pPr>
      <w:r w:rsidRPr="006A339F">
        <w:rPr>
          <w:rFonts w:ascii="Verdana" w:hAnsi="Verdana"/>
        </w:rPr>
        <w:t>They discussed the potential need for additional budget adjustments and the importance of transparent communication and clear decision-making processes.</w:t>
      </w:r>
    </w:p>
    <w:p w14:paraId="60F9DE86" w14:textId="5CB7C2FE" w:rsidR="00832E51" w:rsidRPr="006A339F" w:rsidRDefault="00832E51" w:rsidP="00832E51">
      <w:pPr>
        <w:spacing w:after="0" w:line="360" w:lineRule="auto"/>
        <w:rPr>
          <w:rFonts w:ascii="Verdana" w:hAnsi="Verdana"/>
          <w:b/>
          <w:bCs/>
          <w:sz w:val="28"/>
          <w:szCs w:val="28"/>
        </w:rPr>
      </w:pPr>
      <w:r w:rsidRPr="006A339F">
        <w:rPr>
          <w:rFonts w:ascii="Verdana" w:hAnsi="Verdana"/>
          <w:b/>
          <w:bCs/>
          <w:sz w:val="28"/>
          <w:szCs w:val="28"/>
        </w:rPr>
        <w:t>Public Comment</w:t>
      </w:r>
    </w:p>
    <w:p w14:paraId="6D33E11D" w14:textId="3B6FC364" w:rsidR="009C38DE" w:rsidRPr="006A339F" w:rsidRDefault="009C38DE" w:rsidP="00832E51">
      <w:pPr>
        <w:spacing w:after="0" w:line="360" w:lineRule="auto"/>
        <w:rPr>
          <w:rFonts w:ascii="Verdana" w:hAnsi="Verdana"/>
          <w:sz w:val="24"/>
          <w:szCs w:val="24"/>
        </w:rPr>
      </w:pPr>
      <w:r w:rsidRPr="006A339F">
        <w:rPr>
          <w:rFonts w:ascii="Verdana" w:hAnsi="Verdana"/>
          <w:sz w:val="24"/>
          <w:szCs w:val="24"/>
        </w:rPr>
        <w:t>No Public Comment</w:t>
      </w:r>
      <w:r w:rsidR="001A1418" w:rsidRPr="006A339F">
        <w:rPr>
          <w:rFonts w:ascii="Verdana" w:hAnsi="Verdana"/>
          <w:sz w:val="24"/>
          <w:szCs w:val="24"/>
        </w:rPr>
        <w:t xml:space="preserve"> </w:t>
      </w:r>
    </w:p>
    <w:p w14:paraId="3BD949DA" w14:textId="60A5A44D" w:rsidR="00844CDC" w:rsidRPr="006A339F" w:rsidRDefault="006B2D23" w:rsidP="008144F0">
      <w:pPr>
        <w:spacing w:after="0" w:line="240" w:lineRule="auto"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>Recess for the day</w:t>
      </w:r>
    </w:p>
    <w:p w14:paraId="27ECF0FE" w14:textId="77777777" w:rsidR="009C38DE" w:rsidRPr="006A339F" w:rsidRDefault="009C38DE" w:rsidP="008144F0">
      <w:pPr>
        <w:spacing w:after="0" w:line="240" w:lineRule="auto"/>
        <w:rPr>
          <w:rFonts w:ascii="Verdana" w:hAnsi="Verdana" w:cstheme="minorHAnsi"/>
          <w:b/>
          <w:bCs/>
          <w:sz w:val="28"/>
          <w:szCs w:val="28"/>
        </w:rPr>
      </w:pPr>
    </w:p>
    <w:p w14:paraId="1E28A6B4" w14:textId="74A0EFAD" w:rsidR="006B2D23" w:rsidRPr="006A339F" w:rsidRDefault="006B2D23" w:rsidP="008144F0">
      <w:pPr>
        <w:spacing w:after="0" w:line="240" w:lineRule="auto"/>
        <w:rPr>
          <w:rFonts w:ascii="Verdana" w:hAnsi="Verdana" w:cstheme="minorHAnsi"/>
          <w:b/>
          <w:bCs/>
          <w:sz w:val="28"/>
          <w:szCs w:val="28"/>
        </w:rPr>
      </w:pPr>
      <w:r w:rsidRPr="006A339F">
        <w:rPr>
          <w:rFonts w:ascii="Verdana" w:hAnsi="Verdana" w:cstheme="minorHAnsi"/>
          <w:b/>
          <w:bCs/>
          <w:sz w:val="28"/>
          <w:szCs w:val="28"/>
        </w:rPr>
        <w:t xml:space="preserve">Reconvene November 1, </w:t>
      </w:r>
      <w:r w:rsidR="004772B0" w:rsidRPr="006A339F">
        <w:rPr>
          <w:rFonts w:ascii="Verdana" w:hAnsi="Verdana" w:cstheme="minorHAnsi"/>
          <w:b/>
          <w:bCs/>
          <w:sz w:val="28"/>
          <w:szCs w:val="28"/>
        </w:rPr>
        <w:t>2024,</w:t>
      </w:r>
      <w:r w:rsidRPr="006A339F">
        <w:rPr>
          <w:rFonts w:ascii="Verdana" w:hAnsi="Verdana" w:cstheme="minorHAnsi"/>
          <w:b/>
          <w:bCs/>
          <w:sz w:val="28"/>
          <w:szCs w:val="28"/>
        </w:rPr>
        <w:t xml:space="preserve"> 9:00 a.m.</w:t>
      </w:r>
    </w:p>
    <w:p w14:paraId="5EB7362B" w14:textId="77777777" w:rsidR="002B46F0" w:rsidRPr="006A339F" w:rsidRDefault="004772B0" w:rsidP="004772B0">
      <w:pPr>
        <w:spacing w:after="0" w:line="360" w:lineRule="auto"/>
        <w:contextualSpacing/>
        <w:rPr>
          <w:rFonts w:ascii="Verdana" w:hAnsi="Verdana"/>
          <w:b/>
          <w:bCs/>
          <w:kern w:val="0"/>
          <w:sz w:val="28"/>
          <w:szCs w:val="28"/>
          <w14:ligatures w14:val="none"/>
        </w:rPr>
      </w:pPr>
      <w:r w:rsidRPr="006A339F">
        <w:rPr>
          <w:rFonts w:ascii="Verdana" w:hAnsi="Verdana"/>
          <w:b/>
          <w:bCs/>
          <w:kern w:val="0"/>
          <w:sz w:val="28"/>
          <w:szCs w:val="28"/>
          <w14:ligatures w14:val="none"/>
        </w:rPr>
        <w:t>Welcome and Introductions, Gennadiy Goldenshteyn, Chair</w:t>
      </w:r>
    </w:p>
    <w:p w14:paraId="26598E45" w14:textId="77777777" w:rsidR="00611F34" w:rsidRPr="006A339F" w:rsidRDefault="00611F34" w:rsidP="004772B0">
      <w:pPr>
        <w:spacing w:after="0" w:line="360" w:lineRule="auto"/>
        <w:contextualSpacing/>
        <w:rPr>
          <w:rFonts w:ascii="Verdana" w:hAnsi="Verdana"/>
          <w:b/>
          <w:bCs/>
          <w:kern w:val="0"/>
          <w:sz w:val="28"/>
          <w:szCs w:val="28"/>
          <w14:ligatures w14:val="none"/>
        </w:rPr>
      </w:pPr>
      <w:r w:rsidRPr="006A339F">
        <w:rPr>
          <w:rFonts w:ascii="Verdana" w:hAnsi="Verdana"/>
          <w:b/>
          <w:bCs/>
          <w:kern w:val="0"/>
          <w:sz w:val="28"/>
          <w:szCs w:val="28"/>
          <w14:ligatures w14:val="none"/>
        </w:rPr>
        <w:t>TWC Commissioner Trevino address the council</w:t>
      </w:r>
    </w:p>
    <w:p w14:paraId="7D4C1B6A" w14:textId="54B3A4BD" w:rsidR="004772B0" w:rsidRPr="006A339F" w:rsidRDefault="004772B0" w:rsidP="004772B0">
      <w:pPr>
        <w:spacing w:after="0" w:line="360" w:lineRule="auto"/>
        <w:contextualSpacing/>
        <w:rPr>
          <w:rFonts w:ascii="Verdana" w:hAnsi="Verdana"/>
          <w:b/>
          <w:bCs/>
          <w:kern w:val="0"/>
          <w:sz w:val="28"/>
          <w:szCs w:val="28"/>
          <w14:ligatures w14:val="none"/>
        </w:rPr>
      </w:pPr>
      <w:r w:rsidRPr="006A339F">
        <w:rPr>
          <w:rFonts w:ascii="Verdana" w:hAnsi="Verdana"/>
          <w:b/>
          <w:bCs/>
          <w:kern w:val="0"/>
          <w:sz w:val="28"/>
          <w:szCs w:val="28"/>
          <w14:ligatures w14:val="none"/>
        </w:rPr>
        <w:t xml:space="preserve">Regional Presentations: </w:t>
      </w:r>
    </w:p>
    <w:p w14:paraId="232FB2DD" w14:textId="77777777" w:rsidR="005A0369" w:rsidRPr="006A339F" w:rsidRDefault="005A0369" w:rsidP="005A0369">
      <w:pPr>
        <w:numPr>
          <w:ilvl w:val="0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DFW/Texhoma Regional Overview: Anne Hoscheit, Regional Director, and Daniel Clark, Deputy Regional Director, presented an overview of Region 2, highlighting its demographics, workforce, and initiatives.</w:t>
      </w:r>
    </w:p>
    <w:p w14:paraId="77ED7ADC" w14:textId="77777777" w:rsidR="005A0369" w:rsidRPr="006A339F" w:rsidRDefault="005A0369" w:rsidP="005A0369">
      <w:pPr>
        <w:numPr>
          <w:ilvl w:val="0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Collaborating to Improve Services to Foster Youth: Judge Delia Gonzalez and Latoyia Patterson discussed their partnership with Dallas County Foster Court, emphasizing its unique approach to supporting foster youth with disabilities. Key points:</w:t>
      </w:r>
    </w:p>
    <w:p w14:paraId="6C8F3B10" w14:textId="77777777" w:rsidR="005A0369" w:rsidRPr="006A339F" w:rsidRDefault="005A0369" w:rsidP="005A0369">
      <w:pPr>
        <w:numPr>
          <w:ilvl w:val="1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Judge Gonzalez's court is warm and welcoming, aiming to create a safe space for youth.</w:t>
      </w:r>
    </w:p>
    <w:p w14:paraId="4DD9B971" w14:textId="77777777" w:rsidR="005A0369" w:rsidRPr="006A339F" w:rsidRDefault="005A0369" w:rsidP="005A0369">
      <w:pPr>
        <w:numPr>
          <w:ilvl w:val="1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VR services start at age 14, focusing on preparing youth for adulthood and employment.</w:t>
      </w:r>
    </w:p>
    <w:p w14:paraId="34ABFBCB" w14:textId="77777777" w:rsidR="005A0369" w:rsidRPr="006A339F" w:rsidRDefault="005A0369" w:rsidP="005A0369">
      <w:pPr>
        <w:numPr>
          <w:ilvl w:val="1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 partnership aims to ensure a smooth transition from foster care to VR services.</w:t>
      </w:r>
    </w:p>
    <w:p w14:paraId="44E7691F" w14:textId="77777777" w:rsidR="005A0369" w:rsidRPr="006A339F" w:rsidRDefault="005A0369" w:rsidP="005A0369">
      <w:pPr>
        <w:numPr>
          <w:ilvl w:val="1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There's a dedicated VR counselor for the court, requiring ongoing communication and coordination.</w:t>
      </w:r>
    </w:p>
    <w:p w14:paraId="7CB8A3F3" w14:textId="77777777" w:rsidR="005A0369" w:rsidRPr="006A339F" w:rsidRDefault="005A0369" w:rsidP="005A0369">
      <w:pPr>
        <w:numPr>
          <w:ilvl w:val="1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lastRenderedPageBreak/>
        <w:t>Replicating this model in other regions might involve targeting specific judges and building relationships.</w:t>
      </w:r>
    </w:p>
    <w:p w14:paraId="52768B60" w14:textId="77777777" w:rsidR="005A0369" w:rsidRPr="006A339F" w:rsidRDefault="005A0369" w:rsidP="005A0369">
      <w:pPr>
        <w:numPr>
          <w:ilvl w:val="0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A Team Approach to Serving Veterans: The Region 2 Veterans Team, comprised of VR counselors and supervisors with military experience, shared their efforts to improve services for veterans. Key points:</w:t>
      </w:r>
    </w:p>
    <w:p w14:paraId="28CDC382" w14:textId="77777777" w:rsidR="005A0369" w:rsidRPr="006A339F" w:rsidRDefault="005A0369" w:rsidP="005A0369">
      <w:pPr>
        <w:numPr>
          <w:ilvl w:val="1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 team is working to increase VR awareness among veterans, enhance counselor competency, and strengthen community partnerships.</w:t>
      </w:r>
    </w:p>
    <w:p w14:paraId="78D21FB3" w14:textId="77777777" w:rsidR="005A0369" w:rsidRPr="006A339F" w:rsidRDefault="005A0369" w:rsidP="005A0369">
      <w:pPr>
        <w:numPr>
          <w:ilvl w:val="1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 goal is to provide a holistic approach, addressing various aspects of veteran life.</w:t>
      </w:r>
    </w:p>
    <w:p w14:paraId="30170F30" w14:textId="77777777" w:rsidR="005A0369" w:rsidRPr="006A339F" w:rsidRDefault="005A0369" w:rsidP="005A0369">
      <w:pPr>
        <w:numPr>
          <w:ilvl w:val="1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 team members are either veterans or spouses of veterans, offering firsthand knowledge and expertise.</w:t>
      </w:r>
    </w:p>
    <w:p w14:paraId="7FAE7355" w14:textId="77777777" w:rsidR="005A0369" w:rsidRPr="006A339F" w:rsidRDefault="005A0369" w:rsidP="005A0369">
      <w:pPr>
        <w:numPr>
          <w:ilvl w:val="1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They are actively involved in outreach initiatives, including presentations at conferences and partnerships with veteran-serving organizations.</w:t>
      </w:r>
    </w:p>
    <w:p w14:paraId="628B8E58" w14:textId="3188E6A4" w:rsidR="005A0369" w:rsidRPr="006A339F" w:rsidRDefault="005A0369" w:rsidP="005A0369">
      <w:pPr>
        <w:numPr>
          <w:ilvl w:val="0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Region 2 Customer Experience and Employer Partnerships: Deb</w:t>
      </w:r>
      <w:r w:rsidR="00D57B92" w:rsidRPr="006A339F">
        <w:rPr>
          <w:rFonts w:ascii="Verdana" w:hAnsi="Verdana"/>
        </w:rPr>
        <w:t>ra</w:t>
      </w:r>
      <w:r w:rsidRPr="006A339F">
        <w:rPr>
          <w:rFonts w:ascii="Verdana" w:hAnsi="Verdana"/>
        </w:rPr>
        <w:t xml:space="preserve"> Jones, Business Relations Consultant, introduced three employers with successful partnerships with VR in Region 2:</w:t>
      </w:r>
    </w:p>
    <w:p w14:paraId="1EE0B996" w14:textId="7F8AF14D" w:rsidR="005A0369" w:rsidRPr="006A339F" w:rsidRDefault="00EC158B" w:rsidP="005A0369">
      <w:pPr>
        <w:numPr>
          <w:ilvl w:val="1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Barcel</w:t>
      </w:r>
      <w:r w:rsidR="005A0369" w:rsidRPr="006A339F">
        <w:rPr>
          <w:rFonts w:ascii="Verdana" w:hAnsi="Verdana"/>
        </w:rPr>
        <w:t xml:space="preserve"> (Bimbo Bakery): Erica Rodriguez and Juanita Duarte, representatives, shared their journey in incorporating individuals with disabilities into their workforce. Key points:</w:t>
      </w:r>
    </w:p>
    <w:p w14:paraId="2E3C6D62" w14:textId="77777777" w:rsidR="005A0369" w:rsidRPr="006A339F" w:rsidRDefault="005A0369" w:rsidP="005A0369">
      <w:pPr>
        <w:numPr>
          <w:ilvl w:val="2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 company is in the early stages of developing their disability inclusion strategy.</w:t>
      </w:r>
    </w:p>
    <w:p w14:paraId="5F3D23CA" w14:textId="77777777" w:rsidR="005A0369" w:rsidRPr="006A339F" w:rsidRDefault="005A0369" w:rsidP="005A0369">
      <w:pPr>
        <w:numPr>
          <w:ilvl w:val="2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They are focused on educating employees about various disabilities and building relationships with organizations like TWC.</w:t>
      </w:r>
    </w:p>
    <w:p w14:paraId="4792D865" w14:textId="77777777" w:rsidR="005A0369" w:rsidRPr="006A339F" w:rsidRDefault="005A0369" w:rsidP="005A0369">
      <w:pPr>
        <w:numPr>
          <w:ilvl w:val="2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They are actively looking for qualified candidates and seeking ways to increase visibility of their opportunities.</w:t>
      </w:r>
    </w:p>
    <w:p w14:paraId="678476A0" w14:textId="77777777" w:rsidR="005A0369" w:rsidRPr="006A339F" w:rsidRDefault="005A0369" w:rsidP="005A0369">
      <w:pPr>
        <w:numPr>
          <w:ilvl w:val="1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StandardAero: Max Allen discussed their successful hiring of Shane West, a blind individual working as a tube protector for jet engines. Key points:</w:t>
      </w:r>
    </w:p>
    <w:p w14:paraId="5FC7D375" w14:textId="77777777" w:rsidR="005A0369" w:rsidRPr="006A339F" w:rsidRDefault="005A0369" w:rsidP="005A0369">
      <w:pPr>
        <w:numPr>
          <w:ilvl w:val="2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 company is committed to diversity and inclusion, recognizing the value of hiring people with disabilities.</w:t>
      </w:r>
    </w:p>
    <w:p w14:paraId="10080899" w14:textId="77777777" w:rsidR="005A0369" w:rsidRPr="006A339F" w:rsidRDefault="005A0369" w:rsidP="005A0369">
      <w:pPr>
        <w:numPr>
          <w:ilvl w:val="2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lastRenderedPageBreak/>
        <w:t>They are open to creative job designs and working with VR to identify qualified candidates.</w:t>
      </w:r>
    </w:p>
    <w:p w14:paraId="1F3E87F0" w14:textId="77777777" w:rsidR="005A0369" w:rsidRPr="006A339F" w:rsidRDefault="005A0369" w:rsidP="005A0369">
      <w:pPr>
        <w:numPr>
          <w:ilvl w:val="2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They emphasize the importance of human connection and building relationships for successful placements.</w:t>
      </w:r>
    </w:p>
    <w:p w14:paraId="3CF1B810" w14:textId="77777777" w:rsidR="005A0369" w:rsidRPr="006A339F" w:rsidRDefault="005A0369" w:rsidP="005A0369">
      <w:pPr>
        <w:numPr>
          <w:ilvl w:val="1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Michaels: Casey McEuin, Head of Inclusion and Diversity, presented their "Makers Like Me" program, highlighting their significant strides in hiring individuals with disabilities. Key points:</w:t>
      </w:r>
    </w:p>
    <w:p w14:paraId="202F084B" w14:textId="77777777" w:rsidR="005A0369" w:rsidRPr="006A339F" w:rsidRDefault="005A0369" w:rsidP="005A0369">
      <w:pPr>
        <w:numPr>
          <w:ilvl w:val="2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 program has been expanding incrementally to 785 stores with a 90% retention rate.</w:t>
      </w:r>
    </w:p>
    <w:p w14:paraId="475DEDDA" w14:textId="77777777" w:rsidR="005A0369" w:rsidRPr="006A339F" w:rsidRDefault="005A0369" w:rsidP="005A0369">
      <w:pPr>
        <w:numPr>
          <w:ilvl w:val="2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They have established strong partnerships with VR and community agencies to identify qualified candidates.</w:t>
      </w:r>
    </w:p>
    <w:p w14:paraId="797A9E68" w14:textId="77777777" w:rsidR="005A0369" w:rsidRPr="006A339F" w:rsidRDefault="005A0369" w:rsidP="005A0369">
      <w:pPr>
        <w:numPr>
          <w:ilvl w:val="2"/>
          <w:numId w:val="25"/>
        </w:numPr>
        <w:rPr>
          <w:rFonts w:ascii="Verdana" w:hAnsi="Verdana"/>
        </w:rPr>
      </w:pPr>
      <w:r w:rsidRPr="006A339F">
        <w:rPr>
          <w:rFonts w:ascii="Verdana" w:hAnsi="Verdana"/>
        </w:rPr>
        <w:t>They are focused on creating a supportive environment for employees with disabilities, fostering career growth and promotion.</w:t>
      </w:r>
    </w:p>
    <w:p w14:paraId="61D3B6B6" w14:textId="77777777" w:rsidR="00693673" w:rsidRPr="006A339F" w:rsidRDefault="00693673" w:rsidP="00F17620">
      <w:pPr>
        <w:rPr>
          <w:rFonts w:ascii="Verdana" w:hAnsi="Verdana"/>
          <w:b/>
          <w:bCs/>
          <w:sz w:val="28"/>
          <w:szCs w:val="28"/>
        </w:rPr>
      </w:pPr>
      <w:r w:rsidRPr="006A339F">
        <w:rPr>
          <w:rFonts w:ascii="Verdana" w:hAnsi="Verdana"/>
          <w:b/>
          <w:bCs/>
          <w:sz w:val="28"/>
          <w:szCs w:val="28"/>
        </w:rPr>
        <w:t>Christopher Speckhard and Tammy Martin presented an analysis of VR success rates for blind and visually impaired customers. Key findings:</w:t>
      </w:r>
    </w:p>
    <w:p w14:paraId="12155004" w14:textId="77777777" w:rsidR="00693673" w:rsidRPr="006A339F" w:rsidRDefault="00693673" w:rsidP="006A339F">
      <w:pPr>
        <w:numPr>
          <w:ilvl w:val="0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t>There is a steeper decline in success rates for blind and visually impaired customers compared to other disability categories.</w:t>
      </w:r>
    </w:p>
    <w:p w14:paraId="56AB7282" w14:textId="77777777" w:rsidR="00693673" w:rsidRPr="006A339F" w:rsidRDefault="00693673" w:rsidP="006A339F">
      <w:pPr>
        <w:numPr>
          <w:ilvl w:val="0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t>Legally blind customers tend to have higher proportions of most significant disabilities, requiring additional training and support.</w:t>
      </w:r>
    </w:p>
    <w:p w14:paraId="0A54C2E4" w14:textId="77777777" w:rsidR="00693673" w:rsidRPr="006A339F" w:rsidRDefault="00693673" w:rsidP="006A339F">
      <w:pPr>
        <w:numPr>
          <w:ilvl w:val="0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t>Region 6 exhibits high success rates for other visual disabilities, despite having a high proportion of most significant disabilities.</w:t>
      </w:r>
    </w:p>
    <w:p w14:paraId="70C55A40" w14:textId="77777777" w:rsidR="00693673" w:rsidRPr="006A339F" w:rsidRDefault="00693673" w:rsidP="006A339F">
      <w:pPr>
        <w:numPr>
          <w:ilvl w:val="0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t>There is a statistically significant variation in success rates by region.</w:t>
      </w:r>
    </w:p>
    <w:p w14:paraId="5E2436A5" w14:textId="77777777" w:rsidR="00693673" w:rsidRPr="006A339F" w:rsidRDefault="00693673" w:rsidP="006A339F">
      <w:pPr>
        <w:numPr>
          <w:ilvl w:val="0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t>Region 6 also has a significantly higher number of purchased services for legally blind customers, suggesting a potential correlation with success.</w:t>
      </w:r>
    </w:p>
    <w:p w14:paraId="2E513946" w14:textId="77777777" w:rsidR="00693673" w:rsidRPr="006A339F" w:rsidRDefault="00693673" w:rsidP="006A339F">
      <w:pPr>
        <w:numPr>
          <w:ilvl w:val="0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t>There has been a decrease in engagement rates and a significant increase in turnover rates for blind and visually impaired counselors.</w:t>
      </w:r>
    </w:p>
    <w:p w14:paraId="7D0F0A64" w14:textId="77777777" w:rsidR="00693673" w:rsidRPr="006A339F" w:rsidRDefault="00693673" w:rsidP="00693673">
      <w:pPr>
        <w:numPr>
          <w:ilvl w:val="0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t>Recommendations for further analysis:</w:t>
      </w:r>
    </w:p>
    <w:p w14:paraId="450EA7F9" w14:textId="77777777" w:rsidR="00693673" w:rsidRPr="006A339F" w:rsidRDefault="00693673" w:rsidP="00693673">
      <w:pPr>
        <w:numPr>
          <w:ilvl w:val="1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t>Dive deeper into regional variations, including urban vs. rural areas.</w:t>
      </w:r>
    </w:p>
    <w:p w14:paraId="5E4EC8DB" w14:textId="77777777" w:rsidR="00693673" w:rsidRPr="006A339F" w:rsidRDefault="00693673" w:rsidP="00693673">
      <w:pPr>
        <w:numPr>
          <w:ilvl w:val="1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t>Analyze time from need for services to service provision.</w:t>
      </w:r>
    </w:p>
    <w:p w14:paraId="0F7C6BC1" w14:textId="77777777" w:rsidR="00693673" w:rsidRPr="006A339F" w:rsidRDefault="00693673" w:rsidP="00693673">
      <w:pPr>
        <w:numPr>
          <w:ilvl w:val="1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lastRenderedPageBreak/>
        <w:t>Examine counselor caseloads and workloads.</w:t>
      </w:r>
    </w:p>
    <w:p w14:paraId="333E77B2" w14:textId="77777777" w:rsidR="00693673" w:rsidRPr="006A339F" w:rsidRDefault="00693673" w:rsidP="00693673">
      <w:pPr>
        <w:numPr>
          <w:ilvl w:val="1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t>Analyze the provider base and its impact on outcomes.</w:t>
      </w:r>
    </w:p>
    <w:p w14:paraId="7E82C46C" w14:textId="77777777" w:rsidR="00693673" w:rsidRPr="006A339F" w:rsidRDefault="00693673" w:rsidP="00693673">
      <w:pPr>
        <w:numPr>
          <w:ilvl w:val="1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t>Evaluate the role of integration between VR, providers, and consumers.</w:t>
      </w:r>
    </w:p>
    <w:p w14:paraId="79B65E7D" w14:textId="77777777" w:rsidR="00693673" w:rsidRPr="006A339F" w:rsidRDefault="00693673" w:rsidP="00693673">
      <w:pPr>
        <w:numPr>
          <w:ilvl w:val="1"/>
          <w:numId w:val="33"/>
        </w:numPr>
        <w:rPr>
          <w:rFonts w:ascii="Verdana" w:hAnsi="Verdana"/>
        </w:rPr>
      </w:pPr>
      <w:r w:rsidRPr="006A339F">
        <w:rPr>
          <w:rFonts w:ascii="Verdana" w:hAnsi="Verdana"/>
        </w:rPr>
        <w:t>Track outcomes for the deafblind population.</w:t>
      </w:r>
    </w:p>
    <w:p w14:paraId="2A57A62A" w14:textId="3892D621" w:rsidR="004772B0" w:rsidRPr="006A339F" w:rsidRDefault="004772B0" w:rsidP="004772B0">
      <w:pPr>
        <w:spacing w:line="254" w:lineRule="auto"/>
        <w:rPr>
          <w:rFonts w:ascii="Verdana" w:hAnsi="Verdana"/>
          <w:b/>
          <w:bCs/>
          <w:kern w:val="0"/>
          <w:sz w:val="28"/>
          <w:szCs w:val="28"/>
          <w14:ligatures w14:val="none"/>
        </w:rPr>
      </w:pPr>
      <w:r w:rsidRPr="006A339F">
        <w:rPr>
          <w:rFonts w:ascii="Verdana" w:hAnsi="Verdana"/>
          <w:b/>
          <w:bCs/>
          <w:kern w:val="0"/>
          <w:sz w:val="28"/>
          <w:szCs w:val="28"/>
          <w14:ligatures w14:val="none"/>
        </w:rPr>
        <w:t>Liaison Reports – Full reports are included in the binder</w:t>
      </w:r>
    </w:p>
    <w:p w14:paraId="3ECF7852" w14:textId="77777777" w:rsidR="00645C6B" w:rsidRPr="006A339F" w:rsidRDefault="00645C6B" w:rsidP="00645C6B">
      <w:pPr>
        <w:numPr>
          <w:ilvl w:val="0"/>
          <w:numId w:val="34"/>
        </w:numPr>
        <w:rPr>
          <w:rFonts w:ascii="Verdana" w:hAnsi="Verdana"/>
        </w:rPr>
      </w:pPr>
      <w:r w:rsidRPr="006A339F">
        <w:rPr>
          <w:rFonts w:ascii="Verdana" w:hAnsi="Verdana"/>
        </w:rPr>
        <w:t>Client Assistance Program (CAP): Karen Stanfill reported on new staff, increased caseload, and upcoming federal reporting requirements.</w:t>
      </w:r>
    </w:p>
    <w:p w14:paraId="3847A60D" w14:textId="77777777" w:rsidR="00645C6B" w:rsidRPr="006A339F" w:rsidRDefault="00645C6B" w:rsidP="00645C6B">
      <w:pPr>
        <w:numPr>
          <w:ilvl w:val="0"/>
          <w:numId w:val="34"/>
        </w:numPr>
        <w:rPr>
          <w:rFonts w:ascii="Verdana" w:hAnsi="Verdana"/>
        </w:rPr>
      </w:pPr>
      <w:r w:rsidRPr="006A339F">
        <w:rPr>
          <w:rFonts w:ascii="Verdana" w:hAnsi="Verdana"/>
        </w:rPr>
        <w:t>Community Rehabilitation Provider (CRP): Peggy Schmidt highlighted the provider statewide call, key concerns, and recent conference attendance, suggesting potential collaboration with other stakeholders like HHS and TEA.</w:t>
      </w:r>
    </w:p>
    <w:p w14:paraId="2FBA0668" w14:textId="77777777" w:rsidR="00645C6B" w:rsidRPr="006A339F" w:rsidRDefault="00645C6B" w:rsidP="00645C6B">
      <w:pPr>
        <w:numPr>
          <w:ilvl w:val="0"/>
          <w:numId w:val="34"/>
        </w:numPr>
        <w:rPr>
          <w:rFonts w:ascii="Verdana" w:hAnsi="Verdana"/>
        </w:rPr>
      </w:pPr>
      <w:r w:rsidRPr="006A339F">
        <w:rPr>
          <w:rFonts w:ascii="Verdana" w:hAnsi="Verdana"/>
        </w:rPr>
        <w:t>Partners Resource Network (PRN): Shannon Rosson presented their activities over the past quarter, emphasizing youth outreach programs and regional conferences.</w:t>
      </w:r>
    </w:p>
    <w:p w14:paraId="591ECDB5" w14:textId="7EDF6EA6" w:rsidR="007916C3" w:rsidRPr="006A339F" w:rsidRDefault="007916C3" w:rsidP="00645C6B">
      <w:pPr>
        <w:numPr>
          <w:ilvl w:val="0"/>
          <w:numId w:val="34"/>
        </w:numPr>
        <w:rPr>
          <w:rFonts w:ascii="Verdana" w:hAnsi="Verdana"/>
        </w:rPr>
      </w:pPr>
      <w:r w:rsidRPr="006A339F">
        <w:rPr>
          <w:rFonts w:ascii="Verdana" w:hAnsi="Verdana"/>
          <w:kern w:val="0"/>
          <w14:ligatures w14:val="none"/>
        </w:rPr>
        <w:t>State Independent Living Council (SILC), Vacant No Report</w:t>
      </w:r>
    </w:p>
    <w:p w14:paraId="0E949AC7" w14:textId="77777777" w:rsidR="00645C6B" w:rsidRPr="006A339F" w:rsidRDefault="00645C6B" w:rsidP="00645C6B">
      <w:pPr>
        <w:numPr>
          <w:ilvl w:val="0"/>
          <w:numId w:val="34"/>
        </w:numPr>
        <w:rPr>
          <w:rFonts w:ascii="Verdana" w:hAnsi="Verdana"/>
        </w:rPr>
      </w:pPr>
      <w:r w:rsidRPr="006A339F">
        <w:rPr>
          <w:rFonts w:ascii="Verdana" w:hAnsi="Verdana"/>
        </w:rPr>
        <w:t>Texas Education Agency (TEA): Emily Heise summarized their report, focusing on rule changes, IEP platform development, and new driver's education resources.</w:t>
      </w:r>
    </w:p>
    <w:p w14:paraId="76027358" w14:textId="77777777" w:rsidR="00645C6B" w:rsidRPr="006A339F" w:rsidRDefault="00645C6B" w:rsidP="00645C6B">
      <w:pPr>
        <w:numPr>
          <w:ilvl w:val="0"/>
          <w:numId w:val="34"/>
        </w:numPr>
        <w:rPr>
          <w:rFonts w:ascii="Verdana" w:hAnsi="Verdana"/>
        </w:rPr>
      </w:pPr>
      <w:r w:rsidRPr="006A339F">
        <w:rPr>
          <w:rFonts w:ascii="Verdana" w:hAnsi="Verdana"/>
        </w:rPr>
        <w:t>Texas Workforce Investment Council (TWIC): Michele Harper's report, included in the binder, focused on the last meeting, approval of various plans, and upcoming meetings.</w:t>
      </w:r>
    </w:p>
    <w:p w14:paraId="778A6C7D" w14:textId="6AF3EFAA" w:rsidR="004772B0" w:rsidRPr="006A339F" w:rsidRDefault="004772B0" w:rsidP="004772B0">
      <w:pPr>
        <w:spacing w:after="0" w:line="360" w:lineRule="auto"/>
        <w:contextualSpacing/>
        <w:rPr>
          <w:rFonts w:ascii="Verdana" w:hAnsi="Verdana"/>
          <w:b/>
          <w:bCs/>
          <w:kern w:val="0"/>
          <w:sz w:val="28"/>
          <w:szCs w:val="28"/>
          <w14:ligatures w14:val="none"/>
        </w:rPr>
      </w:pPr>
      <w:r w:rsidRPr="006A339F">
        <w:rPr>
          <w:rFonts w:ascii="Verdana" w:hAnsi="Verdana"/>
          <w:b/>
          <w:bCs/>
          <w:kern w:val="0"/>
          <w:sz w:val="28"/>
          <w:szCs w:val="28"/>
          <w14:ligatures w14:val="none"/>
        </w:rPr>
        <w:t>Council Business</w:t>
      </w:r>
    </w:p>
    <w:p w14:paraId="2CF42A33" w14:textId="58803319" w:rsidR="00057AF8" w:rsidRPr="006A339F" w:rsidRDefault="00181A64" w:rsidP="00057AF8">
      <w:pPr>
        <w:numPr>
          <w:ilvl w:val="0"/>
          <w:numId w:val="35"/>
        </w:numPr>
        <w:rPr>
          <w:rFonts w:ascii="Verdana" w:hAnsi="Verdana"/>
        </w:rPr>
      </w:pPr>
      <w:r w:rsidRPr="006A339F">
        <w:rPr>
          <w:rFonts w:ascii="Verdana" w:hAnsi="Verdana"/>
        </w:rPr>
        <w:t>Peggy Schmidt made a motion</w:t>
      </w:r>
      <w:r w:rsidR="00BA44FF" w:rsidRPr="006A339F">
        <w:rPr>
          <w:rFonts w:ascii="Verdana" w:hAnsi="Verdana"/>
        </w:rPr>
        <w:t xml:space="preserve"> to approve minutes for May and August</w:t>
      </w:r>
      <w:r w:rsidRPr="006A339F">
        <w:rPr>
          <w:rFonts w:ascii="Verdana" w:hAnsi="Verdana"/>
        </w:rPr>
        <w:t xml:space="preserve"> and seconded by Karen Stanfill.</w:t>
      </w:r>
      <w:r w:rsidR="00BA44FF" w:rsidRPr="006A339F">
        <w:rPr>
          <w:rFonts w:ascii="Verdana" w:hAnsi="Verdana"/>
        </w:rPr>
        <w:t xml:space="preserve"> </w:t>
      </w:r>
      <w:r w:rsidR="00057AF8" w:rsidRPr="006A339F">
        <w:rPr>
          <w:rFonts w:ascii="Verdana" w:hAnsi="Verdana"/>
        </w:rPr>
        <w:t>The council approved the minutes from May and August.</w:t>
      </w:r>
    </w:p>
    <w:p w14:paraId="2E03A0C0" w14:textId="77777777" w:rsidR="00057AF8" w:rsidRPr="006A339F" w:rsidRDefault="00057AF8" w:rsidP="00057AF8">
      <w:pPr>
        <w:numPr>
          <w:ilvl w:val="0"/>
          <w:numId w:val="35"/>
        </w:numPr>
        <w:rPr>
          <w:rFonts w:ascii="Verdana" w:hAnsi="Verdana"/>
        </w:rPr>
      </w:pPr>
      <w:r w:rsidRPr="006A339F">
        <w:rPr>
          <w:rFonts w:ascii="Verdana" w:hAnsi="Verdana"/>
        </w:rPr>
        <w:t>The council agreed on the following meeting dates and locations:</w:t>
      </w:r>
    </w:p>
    <w:p w14:paraId="5C3A9E65" w14:textId="0DCD6EAB" w:rsidR="00057AF8" w:rsidRPr="006A339F" w:rsidRDefault="00057AF8" w:rsidP="00057AF8">
      <w:pPr>
        <w:numPr>
          <w:ilvl w:val="1"/>
          <w:numId w:val="35"/>
        </w:numPr>
        <w:rPr>
          <w:rFonts w:ascii="Verdana" w:hAnsi="Verdana"/>
        </w:rPr>
      </w:pPr>
      <w:r w:rsidRPr="006A339F">
        <w:rPr>
          <w:rFonts w:ascii="Verdana" w:hAnsi="Verdana"/>
        </w:rPr>
        <w:t xml:space="preserve">February 6-7, 2025: Austin </w:t>
      </w:r>
    </w:p>
    <w:p w14:paraId="4FDB6ED1" w14:textId="1681F82C" w:rsidR="00057AF8" w:rsidRPr="006A339F" w:rsidRDefault="00057AF8" w:rsidP="00057AF8">
      <w:pPr>
        <w:numPr>
          <w:ilvl w:val="1"/>
          <w:numId w:val="35"/>
        </w:numPr>
        <w:rPr>
          <w:rFonts w:ascii="Verdana" w:hAnsi="Verdana"/>
        </w:rPr>
      </w:pPr>
      <w:r w:rsidRPr="006A339F">
        <w:rPr>
          <w:rFonts w:ascii="Verdana" w:hAnsi="Verdana"/>
        </w:rPr>
        <w:t xml:space="preserve">May 1-2, 2025: </w:t>
      </w:r>
      <w:r w:rsidR="00921DDA" w:rsidRPr="006A339F">
        <w:rPr>
          <w:rFonts w:ascii="Verdana" w:hAnsi="Verdana"/>
        </w:rPr>
        <w:t>Region</w:t>
      </w:r>
      <w:r w:rsidR="00951524" w:rsidRPr="006A339F">
        <w:rPr>
          <w:rFonts w:ascii="Verdana" w:hAnsi="Verdana"/>
        </w:rPr>
        <w:t xml:space="preserve"> to be determined</w:t>
      </w:r>
    </w:p>
    <w:p w14:paraId="303737DF" w14:textId="77777777" w:rsidR="00057AF8" w:rsidRPr="006A339F" w:rsidRDefault="00057AF8" w:rsidP="00057AF8">
      <w:pPr>
        <w:numPr>
          <w:ilvl w:val="1"/>
          <w:numId w:val="35"/>
        </w:numPr>
        <w:rPr>
          <w:rFonts w:ascii="Verdana" w:hAnsi="Verdana"/>
        </w:rPr>
      </w:pPr>
      <w:r w:rsidRPr="006A339F">
        <w:rPr>
          <w:rFonts w:ascii="Verdana" w:hAnsi="Verdana"/>
        </w:rPr>
        <w:t>August 7-8, 2025: Austin or Chris Cole Rehabilitation Center (to be confirmed)</w:t>
      </w:r>
    </w:p>
    <w:p w14:paraId="516727B9" w14:textId="44B3443F" w:rsidR="00057AF8" w:rsidRPr="006A339F" w:rsidRDefault="00057AF8" w:rsidP="00057AF8">
      <w:pPr>
        <w:numPr>
          <w:ilvl w:val="1"/>
          <w:numId w:val="35"/>
        </w:numPr>
        <w:rPr>
          <w:rFonts w:ascii="Verdana" w:hAnsi="Verdana"/>
        </w:rPr>
      </w:pPr>
      <w:r w:rsidRPr="006A339F">
        <w:rPr>
          <w:rFonts w:ascii="Verdana" w:hAnsi="Verdana"/>
        </w:rPr>
        <w:lastRenderedPageBreak/>
        <w:t xml:space="preserve">November 6-7, 2025: Region to be determined, aligned with the </w:t>
      </w:r>
      <w:r w:rsidR="00921DDA" w:rsidRPr="006A339F">
        <w:rPr>
          <w:rFonts w:ascii="Verdana" w:hAnsi="Verdana"/>
        </w:rPr>
        <w:t>TWC Annual C</w:t>
      </w:r>
      <w:r w:rsidRPr="006A339F">
        <w:rPr>
          <w:rFonts w:ascii="Verdana" w:hAnsi="Verdana"/>
        </w:rPr>
        <w:t>onference location.</w:t>
      </w:r>
    </w:p>
    <w:p w14:paraId="7D6BC982" w14:textId="77777777" w:rsidR="00057AF8" w:rsidRPr="006A339F" w:rsidRDefault="00057AF8" w:rsidP="00057AF8">
      <w:pPr>
        <w:numPr>
          <w:ilvl w:val="0"/>
          <w:numId w:val="35"/>
        </w:numPr>
        <w:rPr>
          <w:rFonts w:ascii="Verdana" w:hAnsi="Verdana"/>
        </w:rPr>
      </w:pPr>
      <w:r w:rsidRPr="006A339F">
        <w:rPr>
          <w:rFonts w:ascii="Verdana" w:hAnsi="Verdana"/>
        </w:rPr>
        <w:t>The council discussed new member appointments, with appointments expected to be made soon.</w:t>
      </w:r>
    </w:p>
    <w:p w14:paraId="2CB38AE2" w14:textId="77777777" w:rsidR="00BA556E" w:rsidRPr="006A339F" w:rsidRDefault="00057AF8" w:rsidP="00057AF8">
      <w:pPr>
        <w:numPr>
          <w:ilvl w:val="0"/>
          <w:numId w:val="35"/>
        </w:numPr>
        <w:rPr>
          <w:rFonts w:ascii="Verdana" w:hAnsi="Verdana"/>
        </w:rPr>
      </w:pPr>
      <w:r w:rsidRPr="006A339F">
        <w:rPr>
          <w:rFonts w:ascii="Verdana" w:hAnsi="Verdana"/>
        </w:rPr>
        <w:t>The council reviewed the RCT budget, which is separate from the VR budget</w:t>
      </w:r>
    </w:p>
    <w:p w14:paraId="2B1E703F" w14:textId="1C818874" w:rsidR="00057AF8" w:rsidRPr="006A339F" w:rsidRDefault="00BA556E" w:rsidP="00BA556E">
      <w:pPr>
        <w:numPr>
          <w:ilvl w:val="1"/>
          <w:numId w:val="35"/>
        </w:numPr>
        <w:rPr>
          <w:rFonts w:ascii="Verdana" w:hAnsi="Verdana"/>
        </w:rPr>
      </w:pPr>
      <w:r w:rsidRPr="006A339F">
        <w:rPr>
          <w:rFonts w:ascii="Verdana" w:hAnsi="Verdana"/>
        </w:rPr>
        <w:t xml:space="preserve">As of </w:t>
      </w:r>
      <w:r w:rsidR="00A43E59" w:rsidRPr="006A339F">
        <w:rPr>
          <w:rFonts w:ascii="Verdana" w:hAnsi="Verdana"/>
        </w:rPr>
        <w:t>November 1 FY24,</w:t>
      </w:r>
      <w:r w:rsidR="00F053CF" w:rsidRPr="006A339F">
        <w:rPr>
          <w:rFonts w:ascii="Verdana" w:hAnsi="Verdana"/>
        </w:rPr>
        <w:t xml:space="preserve"> t</w:t>
      </w:r>
      <w:r w:rsidR="0086111D" w:rsidRPr="006A339F">
        <w:rPr>
          <w:rFonts w:ascii="Verdana" w:hAnsi="Verdana"/>
        </w:rPr>
        <w:t>ravel balance left of $22,099 and other expenses $42,800</w:t>
      </w:r>
      <w:r w:rsidR="00057AF8" w:rsidRPr="006A339F">
        <w:rPr>
          <w:rFonts w:ascii="Verdana" w:hAnsi="Verdana"/>
        </w:rPr>
        <w:t>.</w:t>
      </w:r>
      <w:r w:rsidR="0086111D" w:rsidRPr="006A339F">
        <w:rPr>
          <w:rFonts w:ascii="Verdana" w:hAnsi="Verdana"/>
        </w:rPr>
        <w:t xml:space="preserve">  </w:t>
      </w:r>
      <w:r w:rsidR="00F053CF" w:rsidRPr="006A339F">
        <w:rPr>
          <w:rFonts w:ascii="Verdana" w:hAnsi="Verdana"/>
        </w:rPr>
        <w:t xml:space="preserve">FY25 travel budget of </w:t>
      </w:r>
      <w:r w:rsidR="00A43E59" w:rsidRPr="006A339F">
        <w:rPr>
          <w:rFonts w:ascii="Verdana" w:hAnsi="Verdana"/>
        </w:rPr>
        <w:t>$52,033 and other expenses $14,015.</w:t>
      </w:r>
    </w:p>
    <w:p w14:paraId="59AA82FD" w14:textId="07B247B4" w:rsidR="004772B0" w:rsidRPr="006A339F" w:rsidRDefault="004772B0" w:rsidP="004772B0">
      <w:pPr>
        <w:spacing w:line="254" w:lineRule="auto"/>
        <w:rPr>
          <w:rFonts w:ascii="Verdana" w:hAnsi="Verdana"/>
          <w:b/>
          <w:bCs/>
          <w:kern w:val="0"/>
          <w:sz w:val="28"/>
          <w:szCs w:val="28"/>
          <w14:ligatures w14:val="none"/>
        </w:rPr>
      </w:pPr>
      <w:r w:rsidRPr="006A339F">
        <w:rPr>
          <w:rFonts w:ascii="Verdana" w:hAnsi="Verdana"/>
          <w:b/>
          <w:bCs/>
          <w:kern w:val="0"/>
          <w:sz w:val="28"/>
          <w:szCs w:val="28"/>
          <w14:ligatures w14:val="none"/>
        </w:rPr>
        <w:t>Committee Reports including 2025 Strategic Planning Goals</w:t>
      </w:r>
    </w:p>
    <w:p w14:paraId="382E98B0" w14:textId="77777777" w:rsidR="00317CF9" w:rsidRPr="006A339F" w:rsidRDefault="00317CF9" w:rsidP="00317CF9">
      <w:pPr>
        <w:rPr>
          <w:rFonts w:ascii="Verdana" w:hAnsi="Verdana"/>
        </w:rPr>
      </w:pPr>
      <w:r w:rsidRPr="006A339F">
        <w:rPr>
          <w:rFonts w:ascii="Verdana" w:hAnsi="Verdana"/>
        </w:rPr>
        <w:t>Committee Reports</w:t>
      </w:r>
    </w:p>
    <w:p w14:paraId="6EA459DF" w14:textId="77777777" w:rsidR="00317CF9" w:rsidRPr="006A339F" w:rsidRDefault="00317CF9" w:rsidP="00317CF9">
      <w:pPr>
        <w:numPr>
          <w:ilvl w:val="0"/>
          <w:numId w:val="36"/>
        </w:numPr>
        <w:rPr>
          <w:rFonts w:ascii="Verdana" w:hAnsi="Verdana"/>
        </w:rPr>
      </w:pPr>
      <w:r w:rsidRPr="006A339F">
        <w:rPr>
          <w:rFonts w:ascii="Verdana" w:hAnsi="Verdana"/>
        </w:rPr>
        <w:t>Executive Committee: Gennadiy Goldenshteyn, chair, reported on their ongoing work with the VR budget and planning, conference attendance, and the planning process for 2025.</w:t>
      </w:r>
    </w:p>
    <w:p w14:paraId="3218BA39" w14:textId="77777777" w:rsidR="00317CF9" w:rsidRPr="006A339F" w:rsidRDefault="00317CF9" w:rsidP="00317CF9">
      <w:pPr>
        <w:numPr>
          <w:ilvl w:val="0"/>
          <w:numId w:val="36"/>
        </w:numPr>
        <w:rPr>
          <w:rFonts w:ascii="Verdana" w:hAnsi="Verdana"/>
        </w:rPr>
      </w:pPr>
      <w:r w:rsidRPr="006A339F">
        <w:rPr>
          <w:rFonts w:ascii="Verdana" w:hAnsi="Verdana"/>
        </w:rPr>
        <w:t>Policy Committee: Karen Stanfill, chair, discussed key policy updates, including exit surveys, the temporary program for counselors and rehab assistants, self-employment revisions, and the new policy manual.</w:t>
      </w:r>
    </w:p>
    <w:p w14:paraId="79ACDA12" w14:textId="6D339DA9" w:rsidR="00317CF9" w:rsidRPr="006A339F" w:rsidRDefault="00317CF9" w:rsidP="00317CF9">
      <w:pPr>
        <w:numPr>
          <w:ilvl w:val="0"/>
          <w:numId w:val="36"/>
        </w:numPr>
        <w:rPr>
          <w:rFonts w:ascii="Verdana" w:hAnsi="Verdana"/>
        </w:rPr>
      </w:pPr>
      <w:r w:rsidRPr="006A339F">
        <w:rPr>
          <w:rFonts w:ascii="Verdana" w:hAnsi="Verdana"/>
        </w:rPr>
        <w:t xml:space="preserve">Education and Membership Committee: </w:t>
      </w:r>
      <w:r w:rsidR="0015282D" w:rsidRPr="006A339F">
        <w:rPr>
          <w:rFonts w:ascii="Verdana" w:hAnsi="Verdana"/>
        </w:rPr>
        <w:t xml:space="preserve">Emily Heise, Chair. </w:t>
      </w:r>
      <w:r w:rsidRPr="006A339F">
        <w:rPr>
          <w:rFonts w:ascii="Verdana" w:hAnsi="Verdana"/>
        </w:rPr>
        <w:t>Heather Cooke, reported on legislative updates, including implementation of various bills and riders.</w:t>
      </w:r>
    </w:p>
    <w:p w14:paraId="7736DBAC" w14:textId="77777777" w:rsidR="00317CF9" w:rsidRPr="006A339F" w:rsidRDefault="00317CF9" w:rsidP="00317CF9">
      <w:pPr>
        <w:numPr>
          <w:ilvl w:val="0"/>
          <w:numId w:val="36"/>
        </w:numPr>
        <w:rPr>
          <w:rFonts w:ascii="Verdana" w:hAnsi="Verdana"/>
        </w:rPr>
      </w:pPr>
      <w:r w:rsidRPr="006A339F">
        <w:rPr>
          <w:rFonts w:ascii="Verdana" w:hAnsi="Verdana"/>
        </w:rPr>
        <w:t>Customer Satisfaction &amp; Needs Assessment: Peggy Schmidt, chair, summarized the customer satisfaction survey, highlighting key trends and focusing on the satisfaction with the time it takes to start services.</w:t>
      </w:r>
    </w:p>
    <w:p w14:paraId="3014B95B" w14:textId="78D3090D" w:rsidR="004772B0" w:rsidRPr="006A339F" w:rsidRDefault="004772B0" w:rsidP="004772B0">
      <w:pPr>
        <w:spacing w:after="0" w:line="360" w:lineRule="auto"/>
        <w:rPr>
          <w:rFonts w:ascii="Verdana" w:hAnsi="Verdana"/>
          <w:b/>
          <w:bCs/>
          <w:kern w:val="0"/>
          <w:sz w:val="28"/>
          <w:szCs w:val="28"/>
          <w14:ligatures w14:val="none"/>
        </w:rPr>
      </w:pPr>
      <w:r w:rsidRPr="006A339F">
        <w:rPr>
          <w:rFonts w:ascii="Verdana" w:hAnsi="Verdana"/>
          <w:b/>
          <w:bCs/>
          <w:kern w:val="0"/>
          <w:sz w:val="28"/>
          <w:szCs w:val="28"/>
          <w14:ligatures w14:val="none"/>
        </w:rPr>
        <w:t>Public Comment</w:t>
      </w:r>
    </w:p>
    <w:p w14:paraId="4D22442E" w14:textId="007C1A83" w:rsidR="006F4120" w:rsidRPr="006A339F" w:rsidRDefault="006F4120" w:rsidP="006F4120">
      <w:pPr>
        <w:numPr>
          <w:ilvl w:val="0"/>
          <w:numId w:val="37"/>
        </w:numPr>
        <w:rPr>
          <w:rFonts w:ascii="Verdana" w:hAnsi="Verdana"/>
        </w:rPr>
      </w:pPr>
      <w:r w:rsidRPr="006A339F">
        <w:rPr>
          <w:rFonts w:ascii="Verdana" w:hAnsi="Verdana"/>
        </w:rPr>
        <w:t>No public comments were received</w:t>
      </w:r>
      <w:r w:rsidR="00AC742C" w:rsidRPr="006A339F">
        <w:rPr>
          <w:rFonts w:ascii="Verdana" w:hAnsi="Verdana"/>
        </w:rPr>
        <w:t>.</w:t>
      </w:r>
    </w:p>
    <w:p w14:paraId="77020B5C" w14:textId="1E85F204" w:rsidR="004772B0" w:rsidRPr="00AC742C" w:rsidRDefault="004772B0" w:rsidP="004772B0">
      <w:pPr>
        <w:spacing w:after="0" w:line="360" w:lineRule="auto"/>
        <w:rPr>
          <w:rFonts w:ascii="Verdana" w:hAnsi="Verdana"/>
          <w:kern w:val="0"/>
          <w14:ligatures w14:val="none"/>
        </w:rPr>
      </w:pPr>
      <w:r w:rsidRPr="006A339F">
        <w:rPr>
          <w:rFonts w:ascii="Verdana" w:hAnsi="Verdana"/>
          <w:kern w:val="0"/>
          <w14:ligatures w14:val="none"/>
        </w:rPr>
        <w:t>Adjourn</w:t>
      </w:r>
    </w:p>
    <w:p w14:paraId="76C5982E" w14:textId="77777777" w:rsidR="008144F0" w:rsidRPr="00503DD6" w:rsidRDefault="008144F0" w:rsidP="008144F0">
      <w:pPr>
        <w:spacing w:after="0" w:line="240" w:lineRule="auto"/>
        <w:rPr>
          <w:rFonts w:ascii="Verdana" w:hAnsi="Verdana" w:cstheme="minorHAnsi"/>
          <w:b/>
          <w:bCs/>
          <w:sz w:val="28"/>
          <w:szCs w:val="28"/>
        </w:rPr>
      </w:pPr>
    </w:p>
    <w:sectPr w:rsidR="008144F0" w:rsidRPr="00503D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D3AE" w14:textId="77777777" w:rsidR="00703CC2" w:rsidRDefault="00703CC2" w:rsidP="00AA3C5F">
      <w:pPr>
        <w:spacing w:after="0" w:line="240" w:lineRule="auto"/>
      </w:pPr>
      <w:r>
        <w:separator/>
      </w:r>
    </w:p>
  </w:endnote>
  <w:endnote w:type="continuationSeparator" w:id="0">
    <w:p w14:paraId="1A5CA9B1" w14:textId="77777777" w:rsidR="00703CC2" w:rsidRDefault="00703CC2" w:rsidP="00AA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A989" w14:textId="77777777" w:rsidR="00E92A1A" w:rsidRDefault="00E92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F4B8" w14:textId="77777777" w:rsidR="00E92A1A" w:rsidRDefault="00E92A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8A51" w14:textId="77777777" w:rsidR="00E92A1A" w:rsidRDefault="00E9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F387" w14:textId="77777777" w:rsidR="00703CC2" w:rsidRDefault="00703CC2" w:rsidP="00AA3C5F">
      <w:pPr>
        <w:spacing w:after="0" w:line="240" w:lineRule="auto"/>
      </w:pPr>
      <w:r>
        <w:separator/>
      </w:r>
    </w:p>
  </w:footnote>
  <w:footnote w:type="continuationSeparator" w:id="0">
    <w:p w14:paraId="2B8753EE" w14:textId="77777777" w:rsidR="00703CC2" w:rsidRDefault="00703CC2" w:rsidP="00AA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326B" w14:textId="77777777" w:rsidR="00E92A1A" w:rsidRDefault="00E92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D1FA" w14:textId="1A77C807" w:rsidR="00AA3C5F" w:rsidRDefault="00AA3C5F" w:rsidP="00AA3C5F">
    <w:pPr>
      <w:pStyle w:val="Header"/>
      <w:jc w:val="center"/>
    </w:pPr>
    <w:r>
      <w:rPr>
        <w:noProof/>
      </w:rPr>
      <w:drawing>
        <wp:inline distT="0" distB="0" distL="0" distR="0" wp14:anchorId="0E4DEB16" wp14:editId="5E40516E">
          <wp:extent cx="731655" cy="723178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20" cy="750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B149A" w14:textId="77777777" w:rsidR="000F036F" w:rsidRPr="00F167AF" w:rsidRDefault="000F036F" w:rsidP="000F036F">
    <w:pPr>
      <w:pStyle w:val="NormalWeb"/>
      <w:contextualSpacing/>
      <w:rPr>
        <w:rFonts w:ascii="Verdana" w:hAnsi="Verdana" w:cstheme="minorHAnsi"/>
        <w:b/>
        <w:bCs/>
        <w:color w:val="2F5496" w:themeColor="accent1" w:themeShade="BF"/>
        <w:sz w:val="22"/>
        <w:szCs w:val="22"/>
      </w:rPr>
    </w:pPr>
    <w:r w:rsidRPr="00F167AF">
      <w:rPr>
        <w:rFonts w:ascii="Verdana" w:hAnsi="Verdana" w:cstheme="minorHAnsi"/>
        <w:color w:val="4472C4" w:themeColor="accent1"/>
        <w:sz w:val="22"/>
        <w:szCs w:val="22"/>
      </w:rPr>
      <w:t>1117 Trinity St. Austin, TX 78701</w:t>
    </w:r>
    <w:r w:rsidRPr="00F167AF">
      <w:rPr>
        <w:rFonts w:ascii="Verdana" w:hAnsi="Verdana" w:cstheme="minorHAnsi"/>
        <w:color w:val="4472C4" w:themeColor="accent1"/>
        <w:sz w:val="22"/>
        <w:szCs w:val="22"/>
      </w:rPr>
      <w:tab/>
    </w:r>
    <w:r w:rsidRPr="00F167AF">
      <w:rPr>
        <w:rFonts w:ascii="Verdana" w:hAnsi="Verdana" w:cstheme="minorHAnsi"/>
        <w:color w:val="4472C4" w:themeColor="accent1"/>
        <w:sz w:val="22"/>
        <w:szCs w:val="22"/>
      </w:rPr>
      <w:tab/>
    </w:r>
    <w:r w:rsidRPr="00F167AF">
      <w:rPr>
        <w:rFonts w:ascii="Verdana" w:hAnsi="Verdana" w:cstheme="minorHAnsi"/>
        <w:color w:val="4472C4" w:themeColor="accent1"/>
        <w:sz w:val="22"/>
        <w:szCs w:val="22"/>
      </w:rPr>
      <w:tab/>
    </w:r>
    <w:r w:rsidRPr="00F167AF">
      <w:rPr>
        <w:rFonts w:ascii="Verdana" w:hAnsi="Verdana" w:cstheme="minorHAnsi"/>
        <w:color w:val="4472C4" w:themeColor="accent1"/>
        <w:sz w:val="22"/>
        <w:szCs w:val="22"/>
      </w:rPr>
      <w:tab/>
    </w:r>
    <w:r w:rsidRPr="00F167AF">
      <w:rPr>
        <w:rFonts w:ascii="Verdana" w:hAnsi="Verdana" w:cstheme="minorHAnsi"/>
        <w:color w:val="4472C4" w:themeColor="accent1"/>
        <w:sz w:val="22"/>
        <w:szCs w:val="22"/>
      </w:rPr>
      <w:tab/>
    </w:r>
    <w:r w:rsidRPr="00F167AF">
      <w:rPr>
        <w:rFonts w:ascii="Verdana" w:hAnsi="Verdana" w:cstheme="minorHAnsi"/>
        <w:b/>
        <w:bCs/>
        <w:color w:val="2F5496" w:themeColor="accent1" w:themeShade="BF"/>
        <w:sz w:val="22"/>
        <w:szCs w:val="22"/>
      </w:rPr>
      <w:t>Meeting 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1A88" w14:textId="77777777" w:rsidR="00E92A1A" w:rsidRDefault="00E92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92B"/>
    <w:multiLevelType w:val="hybridMultilevel"/>
    <w:tmpl w:val="E52C49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C52000"/>
    <w:multiLevelType w:val="multilevel"/>
    <w:tmpl w:val="8A56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5A6BDC"/>
    <w:multiLevelType w:val="multilevel"/>
    <w:tmpl w:val="4F3E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4792A"/>
    <w:multiLevelType w:val="hybridMultilevel"/>
    <w:tmpl w:val="2DDE21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8E36A7"/>
    <w:multiLevelType w:val="multilevel"/>
    <w:tmpl w:val="C556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D5ED9"/>
    <w:multiLevelType w:val="hybridMultilevel"/>
    <w:tmpl w:val="E65626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7139E"/>
    <w:multiLevelType w:val="hybridMultilevel"/>
    <w:tmpl w:val="7C68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91807"/>
    <w:multiLevelType w:val="hybridMultilevel"/>
    <w:tmpl w:val="E384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B96"/>
    <w:multiLevelType w:val="multilevel"/>
    <w:tmpl w:val="9A8C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CE20A5"/>
    <w:multiLevelType w:val="hybridMultilevel"/>
    <w:tmpl w:val="8C4A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2444945"/>
    <w:multiLevelType w:val="hybridMultilevel"/>
    <w:tmpl w:val="3CAE3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C14AA"/>
    <w:multiLevelType w:val="hybridMultilevel"/>
    <w:tmpl w:val="C56E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E76BC"/>
    <w:multiLevelType w:val="multilevel"/>
    <w:tmpl w:val="DADC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3A5F65"/>
    <w:multiLevelType w:val="hybridMultilevel"/>
    <w:tmpl w:val="7CD8ED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B22C9"/>
    <w:multiLevelType w:val="multilevel"/>
    <w:tmpl w:val="654C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57F2C"/>
    <w:multiLevelType w:val="multilevel"/>
    <w:tmpl w:val="2AFC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7E0B4D"/>
    <w:multiLevelType w:val="multilevel"/>
    <w:tmpl w:val="79C2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162C8"/>
    <w:multiLevelType w:val="multilevel"/>
    <w:tmpl w:val="B5B8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B62D89"/>
    <w:multiLevelType w:val="hybridMultilevel"/>
    <w:tmpl w:val="161C7A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DAC0EDA"/>
    <w:multiLevelType w:val="hybridMultilevel"/>
    <w:tmpl w:val="E81A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95F8B"/>
    <w:multiLevelType w:val="multilevel"/>
    <w:tmpl w:val="614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54D94"/>
    <w:multiLevelType w:val="hybridMultilevel"/>
    <w:tmpl w:val="3968C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41F8E"/>
    <w:multiLevelType w:val="multilevel"/>
    <w:tmpl w:val="A2B8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A1062A"/>
    <w:multiLevelType w:val="hybridMultilevel"/>
    <w:tmpl w:val="FB30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D2F1F"/>
    <w:multiLevelType w:val="hybridMultilevel"/>
    <w:tmpl w:val="E7D2F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2446"/>
    <w:multiLevelType w:val="multilevel"/>
    <w:tmpl w:val="8F4A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9338CE"/>
    <w:multiLevelType w:val="hybridMultilevel"/>
    <w:tmpl w:val="518E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859C6"/>
    <w:multiLevelType w:val="multilevel"/>
    <w:tmpl w:val="B1D4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DA6D96"/>
    <w:multiLevelType w:val="hybridMultilevel"/>
    <w:tmpl w:val="D30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31C72"/>
    <w:multiLevelType w:val="hybridMultilevel"/>
    <w:tmpl w:val="16B2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912AB"/>
    <w:multiLevelType w:val="hybridMultilevel"/>
    <w:tmpl w:val="BBAE85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0FB1821"/>
    <w:multiLevelType w:val="multilevel"/>
    <w:tmpl w:val="A8A0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1032E6"/>
    <w:multiLevelType w:val="multilevel"/>
    <w:tmpl w:val="B17E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46797E"/>
    <w:multiLevelType w:val="hybridMultilevel"/>
    <w:tmpl w:val="7AF0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E2E67"/>
    <w:multiLevelType w:val="multilevel"/>
    <w:tmpl w:val="D126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767D27"/>
    <w:multiLevelType w:val="hybridMultilevel"/>
    <w:tmpl w:val="1372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E5072"/>
    <w:multiLevelType w:val="hybridMultilevel"/>
    <w:tmpl w:val="024C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57884">
    <w:abstractNumId w:val="28"/>
  </w:num>
  <w:num w:numId="2" w16cid:durableId="809635312">
    <w:abstractNumId w:val="33"/>
  </w:num>
  <w:num w:numId="3" w16cid:durableId="1211965108">
    <w:abstractNumId w:val="7"/>
  </w:num>
  <w:num w:numId="4" w16cid:durableId="1339429433">
    <w:abstractNumId w:val="3"/>
  </w:num>
  <w:num w:numId="5" w16cid:durableId="220100037">
    <w:abstractNumId w:val="30"/>
  </w:num>
  <w:num w:numId="6" w16cid:durableId="1398475863">
    <w:abstractNumId w:val="18"/>
  </w:num>
  <w:num w:numId="7" w16cid:durableId="1527449995">
    <w:abstractNumId w:val="23"/>
  </w:num>
  <w:num w:numId="8" w16cid:durableId="961497596">
    <w:abstractNumId w:val="27"/>
  </w:num>
  <w:num w:numId="9" w16cid:durableId="1647397814">
    <w:abstractNumId w:val="12"/>
  </w:num>
  <w:num w:numId="10" w16cid:durableId="1649894865">
    <w:abstractNumId w:val="19"/>
  </w:num>
  <w:num w:numId="11" w16cid:durableId="373046258">
    <w:abstractNumId w:val="8"/>
  </w:num>
  <w:num w:numId="12" w16cid:durableId="601378271">
    <w:abstractNumId w:val="1"/>
  </w:num>
  <w:num w:numId="13" w16cid:durableId="1742677289">
    <w:abstractNumId w:val="24"/>
  </w:num>
  <w:num w:numId="14" w16cid:durableId="55514039">
    <w:abstractNumId w:val="32"/>
  </w:num>
  <w:num w:numId="15" w16cid:durableId="1270551213">
    <w:abstractNumId w:val="13"/>
  </w:num>
  <w:num w:numId="16" w16cid:durableId="1049258376">
    <w:abstractNumId w:val="17"/>
  </w:num>
  <w:num w:numId="17" w16cid:durableId="603850887">
    <w:abstractNumId w:val="26"/>
  </w:num>
  <w:num w:numId="18" w16cid:durableId="652291895">
    <w:abstractNumId w:val="35"/>
  </w:num>
  <w:num w:numId="19" w16cid:durableId="859582817">
    <w:abstractNumId w:val="6"/>
  </w:num>
  <w:num w:numId="20" w16cid:durableId="1364214500">
    <w:abstractNumId w:val="29"/>
  </w:num>
  <w:num w:numId="21" w16cid:durableId="1624770910">
    <w:abstractNumId w:val="36"/>
  </w:num>
  <w:num w:numId="22" w16cid:durableId="571890140">
    <w:abstractNumId w:val="5"/>
  </w:num>
  <w:num w:numId="23" w16cid:durableId="1673680198">
    <w:abstractNumId w:val="9"/>
  </w:num>
  <w:num w:numId="24" w16cid:durableId="1524127669">
    <w:abstractNumId w:val="0"/>
  </w:num>
  <w:num w:numId="25" w16cid:durableId="468590751">
    <w:abstractNumId w:val="11"/>
  </w:num>
  <w:num w:numId="26" w16cid:durableId="738944050">
    <w:abstractNumId w:val="10"/>
  </w:num>
  <w:num w:numId="27" w16cid:durableId="1081484749">
    <w:abstractNumId w:val="21"/>
  </w:num>
  <w:num w:numId="28" w16cid:durableId="1178665025">
    <w:abstractNumId w:val="16"/>
  </w:num>
  <w:num w:numId="29" w16cid:durableId="379742491">
    <w:abstractNumId w:val="22"/>
  </w:num>
  <w:num w:numId="30" w16cid:durableId="312222950">
    <w:abstractNumId w:val="2"/>
  </w:num>
  <w:num w:numId="31" w16cid:durableId="1650940889">
    <w:abstractNumId w:val="20"/>
  </w:num>
  <w:num w:numId="32" w16cid:durableId="1512061506">
    <w:abstractNumId w:val="15"/>
  </w:num>
  <w:num w:numId="33" w16cid:durableId="74595818">
    <w:abstractNumId w:val="14"/>
  </w:num>
  <w:num w:numId="34" w16cid:durableId="2059863653">
    <w:abstractNumId w:val="4"/>
  </w:num>
  <w:num w:numId="35" w16cid:durableId="1990815810">
    <w:abstractNumId w:val="31"/>
  </w:num>
  <w:num w:numId="36" w16cid:durableId="1492598096">
    <w:abstractNumId w:val="25"/>
  </w:num>
  <w:num w:numId="37" w16cid:durableId="18830571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E5"/>
    <w:rsid w:val="00004B64"/>
    <w:rsid w:val="0001157D"/>
    <w:rsid w:val="00016EC6"/>
    <w:rsid w:val="00042550"/>
    <w:rsid w:val="000475C3"/>
    <w:rsid w:val="00054924"/>
    <w:rsid w:val="00057AF8"/>
    <w:rsid w:val="000643DC"/>
    <w:rsid w:val="000B4DF7"/>
    <w:rsid w:val="000D25FA"/>
    <w:rsid w:val="000E1B47"/>
    <w:rsid w:val="000E4566"/>
    <w:rsid w:val="000E537B"/>
    <w:rsid w:val="000F036F"/>
    <w:rsid w:val="000F6C75"/>
    <w:rsid w:val="00100B98"/>
    <w:rsid w:val="00142959"/>
    <w:rsid w:val="001457FD"/>
    <w:rsid w:val="0015282D"/>
    <w:rsid w:val="00153552"/>
    <w:rsid w:val="0016330B"/>
    <w:rsid w:val="00164D6A"/>
    <w:rsid w:val="0016595A"/>
    <w:rsid w:val="00181A64"/>
    <w:rsid w:val="001831AA"/>
    <w:rsid w:val="0019412D"/>
    <w:rsid w:val="001A124B"/>
    <w:rsid w:val="001A1418"/>
    <w:rsid w:val="001D40D7"/>
    <w:rsid w:val="002170C3"/>
    <w:rsid w:val="0021753E"/>
    <w:rsid w:val="002411D6"/>
    <w:rsid w:val="00241D3F"/>
    <w:rsid w:val="00242432"/>
    <w:rsid w:val="00260DDB"/>
    <w:rsid w:val="00281567"/>
    <w:rsid w:val="002842AA"/>
    <w:rsid w:val="00294C46"/>
    <w:rsid w:val="002A01A7"/>
    <w:rsid w:val="002B46F0"/>
    <w:rsid w:val="002C4A93"/>
    <w:rsid w:val="002C56D6"/>
    <w:rsid w:val="002C70F7"/>
    <w:rsid w:val="002D2C74"/>
    <w:rsid w:val="002E1518"/>
    <w:rsid w:val="003017F1"/>
    <w:rsid w:val="00303D20"/>
    <w:rsid w:val="00312F89"/>
    <w:rsid w:val="00313827"/>
    <w:rsid w:val="00317CF9"/>
    <w:rsid w:val="00322F51"/>
    <w:rsid w:val="00323B75"/>
    <w:rsid w:val="00325294"/>
    <w:rsid w:val="00330F7B"/>
    <w:rsid w:val="003359CF"/>
    <w:rsid w:val="003426C1"/>
    <w:rsid w:val="00347686"/>
    <w:rsid w:val="00352DBB"/>
    <w:rsid w:val="00355991"/>
    <w:rsid w:val="003666A3"/>
    <w:rsid w:val="00370BD0"/>
    <w:rsid w:val="00391F15"/>
    <w:rsid w:val="003A2A31"/>
    <w:rsid w:val="003A40E6"/>
    <w:rsid w:val="003A7AF5"/>
    <w:rsid w:val="003D75CC"/>
    <w:rsid w:val="003E369C"/>
    <w:rsid w:val="003E446C"/>
    <w:rsid w:val="003E550E"/>
    <w:rsid w:val="003E5FDE"/>
    <w:rsid w:val="00401253"/>
    <w:rsid w:val="00413626"/>
    <w:rsid w:val="00413EF5"/>
    <w:rsid w:val="004434BB"/>
    <w:rsid w:val="00445183"/>
    <w:rsid w:val="0046052C"/>
    <w:rsid w:val="00463193"/>
    <w:rsid w:val="004772B0"/>
    <w:rsid w:val="004A6191"/>
    <w:rsid w:val="004B1691"/>
    <w:rsid w:val="004B226F"/>
    <w:rsid w:val="004C4665"/>
    <w:rsid w:val="004C7BE3"/>
    <w:rsid w:val="004D3F51"/>
    <w:rsid w:val="004F1D2D"/>
    <w:rsid w:val="004F2AB9"/>
    <w:rsid w:val="004F6275"/>
    <w:rsid w:val="00510123"/>
    <w:rsid w:val="00512715"/>
    <w:rsid w:val="00517A93"/>
    <w:rsid w:val="0053751A"/>
    <w:rsid w:val="0054377A"/>
    <w:rsid w:val="005526D9"/>
    <w:rsid w:val="0055350B"/>
    <w:rsid w:val="00565DCE"/>
    <w:rsid w:val="00575639"/>
    <w:rsid w:val="005837CE"/>
    <w:rsid w:val="00585D54"/>
    <w:rsid w:val="005867A7"/>
    <w:rsid w:val="00597D99"/>
    <w:rsid w:val="005A0369"/>
    <w:rsid w:val="005A7155"/>
    <w:rsid w:val="005B26A3"/>
    <w:rsid w:val="005C08E2"/>
    <w:rsid w:val="005D2424"/>
    <w:rsid w:val="005D550E"/>
    <w:rsid w:val="005F0359"/>
    <w:rsid w:val="005F3010"/>
    <w:rsid w:val="006119CC"/>
    <w:rsid w:val="00611F34"/>
    <w:rsid w:val="00621AAC"/>
    <w:rsid w:val="00621B5A"/>
    <w:rsid w:val="00622CE2"/>
    <w:rsid w:val="006232F1"/>
    <w:rsid w:val="00625E05"/>
    <w:rsid w:val="00630BD9"/>
    <w:rsid w:val="006320F1"/>
    <w:rsid w:val="00636AB8"/>
    <w:rsid w:val="00642933"/>
    <w:rsid w:val="00642ECB"/>
    <w:rsid w:val="00645C6B"/>
    <w:rsid w:val="00660B97"/>
    <w:rsid w:val="00660CA0"/>
    <w:rsid w:val="0066338F"/>
    <w:rsid w:val="00670898"/>
    <w:rsid w:val="00676DC7"/>
    <w:rsid w:val="00693673"/>
    <w:rsid w:val="006A339F"/>
    <w:rsid w:val="006A5CFA"/>
    <w:rsid w:val="006A645F"/>
    <w:rsid w:val="006B2D23"/>
    <w:rsid w:val="006B3179"/>
    <w:rsid w:val="006B3C4C"/>
    <w:rsid w:val="006B56B3"/>
    <w:rsid w:val="006C3CAE"/>
    <w:rsid w:val="006D2618"/>
    <w:rsid w:val="006D2C88"/>
    <w:rsid w:val="006D5E19"/>
    <w:rsid w:val="006D675F"/>
    <w:rsid w:val="006E3A27"/>
    <w:rsid w:val="006E6AEC"/>
    <w:rsid w:val="006F1591"/>
    <w:rsid w:val="006F4120"/>
    <w:rsid w:val="006F78E4"/>
    <w:rsid w:val="00703394"/>
    <w:rsid w:val="00703CC2"/>
    <w:rsid w:val="0071053B"/>
    <w:rsid w:val="007177CA"/>
    <w:rsid w:val="00723925"/>
    <w:rsid w:val="00725B54"/>
    <w:rsid w:val="0074219E"/>
    <w:rsid w:val="00744E46"/>
    <w:rsid w:val="00783C4A"/>
    <w:rsid w:val="007916C3"/>
    <w:rsid w:val="00795798"/>
    <w:rsid w:val="007B5117"/>
    <w:rsid w:val="007B5273"/>
    <w:rsid w:val="007B5688"/>
    <w:rsid w:val="007C13A5"/>
    <w:rsid w:val="007D7525"/>
    <w:rsid w:val="007F1CD3"/>
    <w:rsid w:val="007F4CDB"/>
    <w:rsid w:val="008144F0"/>
    <w:rsid w:val="0081465D"/>
    <w:rsid w:val="00820B08"/>
    <w:rsid w:val="0082141C"/>
    <w:rsid w:val="00823A38"/>
    <w:rsid w:val="00832CDF"/>
    <w:rsid w:val="00832E51"/>
    <w:rsid w:val="00837967"/>
    <w:rsid w:val="00841867"/>
    <w:rsid w:val="00844CDC"/>
    <w:rsid w:val="00850B4D"/>
    <w:rsid w:val="008524B0"/>
    <w:rsid w:val="0086111D"/>
    <w:rsid w:val="00870A03"/>
    <w:rsid w:val="00871964"/>
    <w:rsid w:val="00874851"/>
    <w:rsid w:val="00877C3F"/>
    <w:rsid w:val="00884D52"/>
    <w:rsid w:val="00885277"/>
    <w:rsid w:val="00897161"/>
    <w:rsid w:val="008A13AE"/>
    <w:rsid w:val="008C46C7"/>
    <w:rsid w:val="008E1DEC"/>
    <w:rsid w:val="00905071"/>
    <w:rsid w:val="00920B4B"/>
    <w:rsid w:val="00921DDA"/>
    <w:rsid w:val="00927712"/>
    <w:rsid w:val="00936AB6"/>
    <w:rsid w:val="00941357"/>
    <w:rsid w:val="00942348"/>
    <w:rsid w:val="00951524"/>
    <w:rsid w:val="009675CA"/>
    <w:rsid w:val="0098443F"/>
    <w:rsid w:val="00990440"/>
    <w:rsid w:val="00990501"/>
    <w:rsid w:val="00997BE9"/>
    <w:rsid w:val="009B7A50"/>
    <w:rsid w:val="009C21F0"/>
    <w:rsid w:val="009C38DE"/>
    <w:rsid w:val="009C6CC1"/>
    <w:rsid w:val="009D6E57"/>
    <w:rsid w:val="009D737E"/>
    <w:rsid w:val="00A06AB4"/>
    <w:rsid w:val="00A25C8A"/>
    <w:rsid w:val="00A30DB0"/>
    <w:rsid w:val="00A400B5"/>
    <w:rsid w:val="00A43E59"/>
    <w:rsid w:val="00A5053D"/>
    <w:rsid w:val="00A63578"/>
    <w:rsid w:val="00A65499"/>
    <w:rsid w:val="00A704EA"/>
    <w:rsid w:val="00A754B3"/>
    <w:rsid w:val="00A870FC"/>
    <w:rsid w:val="00A92924"/>
    <w:rsid w:val="00A97696"/>
    <w:rsid w:val="00AA3C5F"/>
    <w:rsid w:val="00AB666B"/>
    <w:rsid w:val="00AC4DC7"/>
    <w:rsid w:val="00AC5080"/>
    <w:rsid w:val="00AC742C"/>
    <w:rsid w:val="00AE46C7"/>
    <w:rsid w:val="00AE6BA5"/>
    <w:rsid w:val="00AF0D1A"/>
    <w:rsid w:val="00AF220E"/>
    <w:rsid w:val="00AF345E"/>
    <w:rsid w:val="00B01784"/>
    <w:rsid w:val="00B02AF3"/>
    <w:rsid w:val="00B047C9"/>
    <w:rsid w:val="00B14813"/>
    <w:rsid w:val="00B16B69"/>
    <w:rsid w:val="00B258E7"/>
    <w:rsid w:val="00B35350"/>
    <w:rsid w:val="00B42256"/>
    <w:rsid w:val="00B427F9"/>
    <w:rsid w:val="00B42E66"/>
    <w:rsid w:val="00B52E37"/>
    <w:rsid w:val="00B541E5"/>
    <w:rsid w:val="00B71F37"/>
    <w:rsid w:val="00B729DD"/>
    <w:rsid w:val="00B73BFE"/>
    <w:rsid w:val="00B754CE"/>
    <w:rsid w:val="00B80439"/>
    <w:rsid w:val="00B856EF"/>
    <w:rsid w:val="00B942D5"/>
    <w:rsid w:val="00BA03AD"/>
    <w:rsid w:val="00BA2598"/>
    <w:rsid w:val="00BA3ABB"/>
    <w:rsid w:val="00BA44FF"/>
    <w:rsid w:val="00BA556E"/>
    <w:rsid w:val="00BB3982"/>
    <w:rsid w:val="00BC3308"/>
    <w:rsid w:val="00BD01BE"/>
    <w:rsid w:val="00BD0DCF"/>
    <w:rsid w:val="00BD1BC8"/>
    <w:rsid w:val="00BD2007"/>
    <w:rsid w:val="00BD3859"/>
    <w:rsid w:val="00BE3A20"/>
    <w:rsid w:val="00BE3BA2"/>
    <w:rsid w:val="00BE4E40"/>
    <w:rsid w:val="00BE5347"/>
    <w:rsid w:val="00BF2BC0"/>
    <w:rsid w:val="00C05653"/>
    <w:rsid w:val="00C10446"/>
    <w:rsid w:val="00C10A56"/>
    <w:rsid w:val="00C22F8E"/>
    <w:rsid w:val="00C41F53"/>
    <w:rsid w:val="00C41FF9"/>
    <w:rsid w:val="00C44795"/>
    <w:rsid w:val="00C457A4"/>
    <w:rsid w:val="00C5412D"/>
    <w:rsid w:val="00C65B10"/>
    <w:rsid w:val="00C66C1D"/>
    <w:rsid w:val="00C8181E"/>
    <w:rsid w:val="00C839B7"/>
    <w:rsid w:val="00CA195E"/>
    <w:rsid w:val="00CC5695"/>
    <w:rsid w:val="00CF4CFF"/>
    <w:rsid w:val="00CF6081"/>
    <w:rsid w:val="00D12E69"/>
    <w:rsid w:val="00D2398B"/>
    <w:rsid w:val="00D23D84"/>
    <w:rsid w:val="00D25AC0"/>
    <w:rsid w:val="00D33880"/>
    <w:rsid w:val="00D33B4C"/>
    <w:rsid w:val="00D35963"/>
    <w:rsid w:val="00D57B92"/>
    <w:rsid w:val="00D628FB"/>
    <w:rsid w:val="00D65770"/>
    <w:rsid w:val="00D74E16"/>
    <w:rsid w:val="00D8519E"/>
    <w:rsid w:val="00D91707"/>
    <w:rsid w:val="00D919D2"/>
    <w:rsid w:val="00D92B5D"/>
    <w:rsid w:val="00DA0563"/>
    <w:rsid w:val="00DA3E13"/>
    <w:rsid w:val="00DD0662"/>
    <w:rsid w:val="00DD1B5F"/>
    <w:rsid w:val="00DE4650"/>
    <w:rsid w:val="00DF6DCF"/>
    <w:rsid w:val="00DF7FF3"/>
    <w:rsid w:val="00E14B3B"/>
    <w:rsid w:val="00E25717"/>
    <w:rsid w:val="00E30C66"/>
    <w:rsid w:val="00E42DA8"/>
    <w:rsid w:val="00E44E1F"/>
    <w:rsid w:val="00E45CDB"/>
    <w:rsid w:val="00E623A4"/>
    <w:rsid w:val="00E70D6C"/>
    <w:rsid w:val="00E83561"/>
    <w:rsid w:val="00E91478"/>
    <w:rsid w:val="00E92A1A"/>
    <w:rsid w:val="00EA7D82"/>
    <w:rsid w:val="00EC0216"/>
    <w:rsid w:val="00EC158B"/>
    <w:rsid w:val="00EC7026"/>
    <w:rsid w:val="00ED7844"/>
    <w:rsid w:val="00EE2F6C"/>
    <w:rsid w:val="00F053CF"/>
    <w:rsid w:val="00F12637"/>
    <w:rsid w:val="00F167AF"/>
    <w:rsid w:val="00F17620"/>
    <w:rsid w:val="00F2235C"/>
    <w:rsid w:val="00F2473A"/>
    <w:rsid w:val="00F43D59"/>
    <w:rsid w:val="00F47CB3"/>
    <w:rsid w:val="00F71019"/>
    <w:rsid w:val="00F82EF7"/>
    <w:rsid w:val="00F907E7"/>
    <w:rsid w:val="00FA5215"/>
    <w:rsid w:val="00FC0BD5"/>
    <w:rsid w:val="00FD01FC"/>
    <w:rsid w:val="00FD25D8"/>
    <w:rsid w:val="00FD5781"/>
    <w:rsid w:val="00FE2D89"/>
    <w:rsid w:val="00FE767C"/>
    <w:rsid w:val="00FF31DD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D8099"/>
  <w15:chartTrackingRefBased/>
  <w15:docId w15:val="{2697E472-07B7-4CC1-BD42-900AF122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A3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C5F"/>
  </w:style>
  <w:style w:type="paragraph" w:styleId="Footer">
    <w:name w:val="footer"/>
    <w:basedOn w:val="Normal"/>
    <w:link w:val="FooterChar"/>
    <w:uiPriority w:val="99"/>
    <w:unhideWhenUsed/>
    <w:rsid w:val="00AA3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5F"/>
  </w:style>
  <w:style w:type="paragraph" w:styleId="ListParagraph">
    <w:name w:val="List Paragraph"/>
    <w:basedOn w:val="Normal"/>
    <w:uiPriority w:val="34"/>
    <w:qFormat/>
    <w:rsid w:val="00413E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25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38F"/>
    <w:rPr>
      <w:color w:val="954F72" w:themeColor="followedHyperlink"/>
      <w:u w:val="single"/>
    </w:rPr>
  </w:style>
  <w:style w:type="paragraph" w:customStyle="1" w:styleId="Fixed">
    <w:name w:val="Fixed"/>
    <w:rsid w:val="00F82EF7"/>
    <w:pPr>
      <w:widowControl w:val="0"/>
      <w:autoSpaceDE w:val="0"/>
      <w:autoSpaceDN w:val="0"/>
      <w:adjustRightInd w:val="0"/>
      <w:spacing w:after="0" w:line="240" w:lineRule="atLeast"/>
      <w:ind w:right="660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B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D01BE"/>
  </w:style>
  <w:style w:type="character" w:customStyle="1" w:styleId="eop">
    <w:name w:val="eop"/>
    <w:basedOn w:val="DefaultParagraphFont"/>
    <w:rsid w:val="00BD01BE"/>
  </w:style>
  <w:style w:type="paragraph" w:customStyle="1" w:styleId="ContinA">
    <w:name w:val="Contin A"/>
    <w:basedOn w:val="Fixed"/>
    <w:next w:val="Fixed"/>
    <w:uiPriority w:val="99"/>
    <w:rsid w:val="00241D3F"/>
    <w:pPr>
      <w:spacing w:line="480" w:lineRule="atLeast"/>
      <w:ind w:right="4692"/>
    </w:pPr>
  </w:style>
  <w:style w:type="character" w:styleId="UnresolvedMention">
    <w:name w:val="Unresolved Mention"/>
    <w:basedOn w:val="DefaultParagraphFont"/>
    <w:uiPriority w:val="99"/>
    <w:semiHidden/>
    <w:unhideWhenUsed/>
    <w:rsid w:val="00B42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youtu.be%2F5qtvex0BtZw&amp;data=05%7C02%7Clisa.godwin%40twc.texas.gov%7C0f819265637d4fdd2f0f08dd04093c6e%7Cfe7d3f4f241b4af184aa32c57fe9db03%7C0%7C0%7C638671159919342460%7CUnknown%7CTWFpbGZsb3d8eyJFbXB0eU1hcGkiOnRydWUsIlYiOiIwLjAuMDAwMCIsIlAiOiJXaW4zMiIsIkFOIjoiTWFpbCIsIldUIjoyfQ%3D%3D%7C0%7C%7C%7C&amp;sdata=kX2J8MYn7bQGfaHsK5aCpS3Av223dvH2OfTKOfDuoOk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youtu.be%2FpHhks1lzmic&amp;data=05%7C02%7Clisa.godwin%40twc.texas.gov%7C0f819265637d4fdd2f0f08dd04093c6e%7Cfe7d3f4f241b4af184aa32c57fe9db03%7C0%7C0%7C638671159919365626%7CUnknown%7CTWFpbGZsb3d8eyJFbXB0eU1hcGkiOnRydWUsIlYiOiIwLjAuMDAwMCIsIlAiOiJXaW4zMiIsIkFOIjoiTWFpbCIsIldUIjoyfQ%3D%3D%7C0%7C%7C%7C&amp;sdata=TQmAg8KVrUZk%2F8QSXrQtFdThdtMdGF%2FS%2FVfNO2l7VDM%3D&amp;reserved=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24F1-952C-4218-BCF3-BDBC75AF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Godwin,Lisa</dc:creator>
  <cp:keywords/>
  <dc:description/>
  <cp:lastModifiedBy>Godwin,Lisa</cp:lastModifiedBy>
  <cp:revision>125</cp:revision>
  <dcterms:created xsi:type="dcterms:W3CDTF">2024-10-31T17:33:00Z</dcterms:created>
  <dcterms:modified xsi:type="dcterms:W3CDTF">2025-06-10T18:53:00Z</dcterms:modified>
</cp:coreProperties>
</file>